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邵阳市双清区人民检察院部门决算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jc w:val="center"/>
        <w:rPr>
          <w:b/>
          <w:sz w:val="36"/>
          <w:szCs w:val="28"/>
        </w:rPr>
      </w:pPr>
    </w:p>
    <w:p>
      <w:pPr>
        <w:pStyle w:val="11"/>
        <w:spacing w:line="500" w:lineRule="exact"/>
        <w:rPr>
          <w:rFonts w:ascii="仿宋_GB2312" w:hAnsi="仿宋_GB2312" w:cs="仿宋_GB2312"/>
          <w:b/>
          <w:sz w:val="28"/>
          <w:szCs w:val="28"/>
        </w:rPr>
      </w:pPr>
      <w:r>
        <w:rPr>
          <w:rFonts w:hint="eastAsia"/>
          <w:b/>
          <w:sz w:val="28"/>
          <w:szCs w:val="28"/>
        </w:rPr>
        <w:t>第一部分邵阳市双清区人民检察院单位概况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2"/>
        <w:ind w:left="720" w:firstLine="0" w:firstLineChars="0"/>
        <w:jc w:val="left"/>
        <w:rPr>
          <w:sz w:val="72"/>
          <w:szCs w:val="72"/>
        </w:rPr>
      </w:pPr>
    </w:p>
    <w:p>
      <w:pPr>
        <w:pStyle w:val="12"/>
        <w:ind w:left="720" w:firstLine="0" w:firstLineChars="0"/>
        <w:jc w:val="left"/>
        <w:rPr>
          <w:rFonts w:ascii="黑体" w:hAnsi="黑体" w:eastAsia="黑体"/>
          <w:sz w:val="32"/>
          <w:szCs w:val="32"/>
        </w:rPr>
      </w:pPr>
    </w:p>
    <w:p>
      <w:pPr>
        <w:pStyle w:val="5"/>
        <w:adjustRightInd w:val="0"/>
        <w:snapToGrid w:val="0"/>
        <w:spacing w:before="0" w:beforeAutospacing="0" w:after="0" w:afterAutospacing="0" w:line="560" w:lineRule="exact"/>
        <w:ind w:firstLine="720" w:firstLineChars="200"/>
        <w:jc w:val="center"/>
        <w:outlineLvl w:val="0"/>
        <w:rPr>
          <w:rFonts w:ascii="黑体" w:hAnsi="黑体" w:eastAsia="黑体" w:cs="黑体"/>
          <w:sz w:val="36"/>
          <w:szCs w:val="36"/>
          <w:shd w:val="clear" w:color="auto" w:fill="FFFFFF"/>
        </w:rPr>
      </w:pPr>
      <w:bookmarkStart w:id="0" w:name="_Toc6365"/>
      <w:r>
        <w:rPr>
          <w:rFonts w:hint="eastAsia" w:ascii="黑体" w:hAnsi="黑体" w:eastAsia="黑体" w:cs="黑体"/>
          <w:sz w:val="36"/>
          <w:szCs w:val="36"/>
          <w:shd w:val="clear" w:color="auto" w:fill="FFFFFF"/>
        </w:rPr>
        <w:t>第一部分 邵阳市双清区人民检察院概况</w:t>
      </w:r>
      <w:bookmarkEnd w:id="0"/>
    </w:p>
    <w:p>
      <w:pPr>
        <w:pStyle w:val="12"/>
        <w:ind w:left="720" w:firstLine="0" w:firstLineChars="0"/>
        <w:jc w:val="left"/>
        <w:rPr>
          <w:rFonts w:ascii="黑体" w:hAnsi="黑体" w:eastAsia="黑体"/>
          <w:sz w:val="36"/>
          <w:szCs w:val="36"/>
        </w:rPr>
      </w:pPr>
    </w:p>
    <w:p>
      <w:pPr>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根据《宪法》和《人民检察院组织法》规定，邵阳市双清区人民检察院作为法律监督机关，接受上级人民检察院的领导，对区人民代表大会及其常务委员会负责并报告工作。主要职责有：</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2、贯彻落实上级人民检察院的各项工作部署，研究制定检察工作规划，部署检察工作任务。</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3、依照法律规定对由区人民检察院直接受理的刑事案件行使侦查权。</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4、对刑事案件依法审查批准逮捕、决定逮捕、提起公诉。</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5、负责应由区人民检察院承办的刑事、民事、行政诉讼活动及刑事、民事、行政判决和裁定等生效法律文书执行的法律监督工作。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6、负责由区人民检察院承办的提起公益诉讼工作。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7、负责应由区人民检察院承办的对看守所、社区矫正机等执法活动的法律监督工作。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8、受理向区人民检察院的控告申诉。</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9、负责区人民检察院的理论研究工作。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10、负责区人民检察院队伍建设和思想政治工作。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11、负责检务督察工作。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12、负责区人民检察院财物装备和检察技术信息工作。</w:t>
      </w:r>
    </w:p>
    <w:p>
      <w:pPr>
        <w:pStyle w:val="5"/>
        <w:snapToGrid w:val="0"/>
        <w:spacing w:line="560" w:lineRule="exact"/>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13、负责其他应由区人民检察院承办的事项。</w:t>
      </w:r>
    </w:p>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（一）内设机构设置。邵阳市双清区人民检察院内设机构包括：第一检察部、第二检察部、第三检察部、办公室、政治部。</w:t>
      </w:r>
    </w:p>
    <w:p>
      <w:pPr>
        <w:widowControl/>
        <w:spacing w:line="600" w:lineRule="exact"/>
        <w:rPr>
          <w:rStyle w:val="8"/>
          <w:rFonts w:asciiTheme="minorEastAsia" w:hAnsiTheme="minorEastAsia"/>
          <w:b w:val="0"/>
          <w:bCs/>
          <w:kern w:val="0"/>
          <w:sz w:val="32"/>
          <w:szCs w:val="32"/>
        </w:rPr>
      </w:pPr>
      <w:r>
        <w:rPr>
          <w:rFonts w:hint="eastAsia" w:asciiTheme="minorEastAsia" w:hAnsiTheme="minorEastAsia"/>
          <w:bCs/>
          <w:kern w:val="0"/>
          <w:sz w:val="32"/>
          <w:szCs w:val="32"/>
        </w:rPr>
        <w:t>（二）决算单位构成。邵阳市双清区人民检察院</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年部门决算汇总公开单位构成包括：邵阳市双清区人民检察院单位本级。</w:t>
      </w: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p>
    <w:p>
      <w:pPr>
        <w:pStyle w:val="5"/>
        <w:spacing w:before="0" w:beforeAutospacing="0"/>
        <w:jc w:val="center"/>
        <w:outlineLvl w:val="0"/>
        <w:rPr>
          <w:rStyle w:val="8"/>
          <w:rFonts w:ascii="黑体" w:hAnsi="黑体" w:eastAsia="黑体" w:cs="黑体"/>
          <w:sz w:val="44"/>
          <w:szCs w:val="44"/>
          <w:shd w:val="clear" w:color="auto" w:fill="FFFFFF"/>
        </w:rPr>
      </w:pPr>
      <w:r>
        <w:rPr>
          <w:rStyle w:val="8"/>
          <w:rFonts w:hint="eastAsia" w:ascii="黑体" w:hAnsi="黑体" w:eastAsia="黑体" w:cs="黑体"/>
          <w:sz w:val="44"/>
          <w:szCs w:val="44"/>
          <w:shd w:val="clear" w:color="auto" w:fill="FFFFFF"/>
        </w:rPr>
        <w:t>第二部分 2021年度部门决算表</w:t>
      </w:r>
    </w:p>
    <w:p>
      <w:pPr>
        <w:pStyle w:val="5"/>
        <w:adjustRightInd w:val="0"/>
        <w:snapToGrid w:val="0"/>
        <w:spacing w:before="0" w:beforeAutospacing="0" w:after="0" w:afterAutospacing="0" w:line="400" w:lineRule="exact"/>
        <w:jc w:val="center"/>
        <w:outlineLvl w:val="1"/>
        <w:rPr>
          <w:rStyle w:val="8"/>
          <w:rFonts w:ascii="楷体_GB2312" w:hAnsi="楷体" w:eastAsia="楷体_GB2312" w:cs="楷体"/>
          <w:sz w:val="32"/>
          <w:szCs w:val="32"/>
          <w:shd w:val="clear" w:color="auto" w:fill="FFFFFF"/>
        </w:rPr>
      </w:pPr>
      <w:bookmarkStart w:id="1" w:name="_Toc5134"/>
      <w:r>
        <w:rPr>
          <w:rFonts w:hint="eastAsia" w:ascii="楷体_GB2312" w:hAnsi="楷体" w:eastAsia="楷体_GB2312" w:cs="楷体"/>
          <w:sz w:val="32"/>
          <w:szCs w:val="32"/>
          <w:shd w:val="clear" w:color="auto" w:fill="FFFFFF"/>
        </w:rPr>
        <w:t>收入支出决算总表</w:t>
      </w:r>
      <w:bookmarkEnd w:id="1"/>
    </w:p>
    <w:tbl>
      <w:tblPr>
        <w:tblStyle w:val="6"/>
        <w:tblW w:w="0" w:type="auto"/>
        <w:tblInd w:w="0" w:type="dxa"/>
        <w:tblLayout w:type="autofit"/>
        <w:tblCellMar>
          <w:top w:w="0" w:type="dxa"/>
          <w:left w:w="108" w:type="dxa"/>
          <w:bottom w:w="0" w:type="dxa"/>
          <w:right w:w="108" w:type="dxa"/>
        </w:tblCellMar>
      </w:tblPr>
      <w:tblGrid>
        <w:gridCol w:w="2446"/>
        <w:gridCol w:w="495"/>
        <w:gridCol w:w="1011"/>
        <w:gridCol w:w="1187"/>
        <w:gridCol w:w="1187"/>
        <w:gridCol w:w="1290"/>
        <w:gridCol w:w="906"/>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gridAfter w:val="1"/>
          <w:wAfter w:w="960" w:type="dxa"/>
          <w:trHeight w:val="300" w:hRule="atLeast"/>
        </w:trPr>
        <w:tc>
          <w:tcPr>
            <w:tcW w:w="0" w:type="auto"/>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2021年度</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0" w:type="auto"/>
            <w:gridSpan w:val="4"/>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1265.34</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26.25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1346.16</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138.96</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67.71</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46.82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1404.30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1560.05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311.19</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155.44</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1715.49</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1715.49</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2.本套报表金额单位转换时可能存在尾数误差。</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bl>
    <w:p>
      <w:pPr>
        <w:jc w:val="center"/>
        <w:rPr>
          <w:rFonts w:asciiTheme="minorEastAsia" w:hAnsiTheme="minorEastAsia"/>
          <w:sz w:val="20"/>
          <w:szCs w:val="20"/>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sectPr>
          <w:pgSz w:w="11906" w:h="16838"/>
          <w:pgMar w:top="1440" w:right="1800" w:bottom="1440" w:left="1800" w:header="851" w:footer="992" w:gutter="0"/>
          <w:cols w:space="425" w:num="1"/>
          <w:docGrid w:type="linesAndChars" w:linePitch="312" w:charSpace="0"/>
        </w:sectPr>
      </w:pPr>
    </w:p>
    <w:tbl>
      <w:tblPr>
        <w:tblStyle w:val="6"/>
        <w:tblW w:w="14279" w:type="dxa"/>
        <w:tblInd w:w="95" w:type="dxa"/>
        <w:tblLayout w:type="autofit"/>
        <w:tblCellMar>
          <w:top w:w="0" w:type="dxa"/>
          <w:left w:w="108" w:type="dxa"/>
          <w:bottom w:w="0" w:type="dxa"/>
          <w:right w:w="28" w:type="dxa"/>
        </w:tblCellMar>
      </w:tblPr>
      <w:tblGrid>
        <w:gridCol w:w="340"/>
        <w:gridCol w:w="340"/>
        <w:gridCol w:w="340"/>
        <w:gridCol w:w="2155"/>
        <w:gridCol w:w="99"/>
        <w:gridCol w:w="850"/>
        <w:gridCol w:w="1156"/>
        <w:gridCol w:w="160"/>
        <w:gridCol w:w="102"/>
        <w:gridCol w:w="1195"/>
        <w:gridCol w:w="99"/>
        <w:gridCol w:w="808"/>
        <w:gridCol w:w="99"/>
        <w:gridCol w:w="492"/>
        <w:gridCol w:w="684"/>
        <w:gridCol w:w="99"/>
        <w:gridCol w:w="776"/>
        <w:gridCol w:w="401"/>
        <w:gridCol w:w="99"/>
        <w:gridCol w:w="1059"/>
        <w:gridCol w:w="543"/>
        <w:gridCol w:w="99"/>
        <w:gridCol w:w="1059"/>
        <w:gridCol w:w="1225"/>
      </w:tblGrid>
      <w:tr>
        <w:tblPrEx>
          <w:tblCellMar>
            <w:top w:w="0" w:type="dxa"/>
            <w:left w:w="108" w:type="dxa"/>
            <w:bottom w:w="0" w:type="dxa"/>
            <w:right w:w="2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5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6" w:type="dxa"/>
            <w:gridSpan w:val="3"/>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收入决算表</w:t>
            </w:r>
          </w:p>
        </w:tc>
        <w:tc>
          <w:tcPr>
            <w:tcW w:w="90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Cs w:val="21"/>
              </w:rPr>
            </w:pPr>
            <w:r>
              <w:rPr>
                <w:rFonts w:hint="eastAsia" w:ascii="宋体" w:hAnsi="宋体" w:eastAsia="宋体" w:cs="Arial"/>
                <w:kern w:val="0"/>
                <w:szCs w:val="21"/>
              </w:rPr>
              <w:t>　</w:t>
            </w:r>
          </w:p>
        </w:tc>
        <w:tc>
          <w:tcPr>
            <w:tcW w:w="127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84" w:type="dxa"/>
            <w:gridSpan w:val="2"/>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2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5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84" w:type="dxa"/>
            <w:gridSpan w:val="2"/>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公开02表</w:t>
            </w:r>
          </w:p>
        </w:tc>
      </w:tr>
      <w:tr>
        <w:tblPrEx>
          <w:tblCellMar>
            <w:top w:w="0" w:type="dxa"/>
            <w:left w:w="108" w:type="dxa"/>
            <w:bottom w:w="0" w:type="dxa"/>
            <w:right w:w="28" w:type="dxa"/>
          </w:tblCellMar>
        </w:tblPrEx>
        <w:trPr>
          <w:trHeight w:val="300" w:hRule="atLeast"/>
        </w:trPr>
        <w:tc>
          <w:tcPr>
            <w:tcW w:w="3175"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部门：邵阳市双清区人民检察院</w:t>
            </w:r>
          </w:p>
        </w:tc>
        <w:tc>
          <w:tcPr>
            <w:tcW w:w="2105"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7" w:type="dxa"/>
            <w:gridSpan w:val="3"/>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18"/>
              </w:rPr>
            </w:pPr>
            <w:r>
              <w:rPr>
                <w:rFonts w:hint="eastAsia" w:ascii="宋体" w:hAnsi="宋体" w:eastAsia="宋体" w:cs="Arial"/>
                <w:color w:val="000000"/>
                <w:kern w:val="0"/>
                <w:sz w:val="18"/>
              </w:rPr>
              <w:t>2021年度</w:t>
            </w:r>
          </w:p>
        </w:tc>
        <w:tc>
          <w:tcPr>
            <w:tcW w:w="907"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5"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1"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83" w:type="dxa"/>
            <w:gridSpan w:val="3"/>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金额单位：万元</w:t>
            </w:r>
          </w:p>
        </w:tc>
      </w:tr>
      <w:tr>
        <w:tblPrEx>
          <w:tblCellMar>
            <w:top w:w="0" w:type="dxa"/>
            <w:left w:w="108" w:type="dxa"/>
            <w:bottom w:w="0" w:type="dxa"/>
            <w:right w:w="28" w:type="dxa"/>
          </w:tblCellMar>
        </w:tblPrEx>
        <w:trPr>
          <w:trHeight w:val="300" w:hRule="atLeast"/>
        </w:trPr>
        <w:tc>
          <w:tcPr>
            <w:tcW w:w="4124"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项目</w:t>
            </w:r>
          </w:p>
        </w:tc>
        <w:tc>
          <w:tcPr>
            <w:tcW w:w="1418"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本年收入合计</w:t>
            </w:r>
          </w:p>
        </w:tc>
        <w:tc>
          <w:tcPr>
            <w:tcW w:w="1294"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财政拨款收入</w:t>
            </w:r>
          </w:p>
        </w:tc>
        <w:tc>
          <w:tcPr>
            <w:tcW w:w="1399"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上级补助收入</w:t>
            </w:r>
          </w:p>
        </w:tc>
        <w:tc>
          <w:tcPr>
            <w:tcW w:w="1559"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事业收入</w:t>
            </w:r>
          </w:p>
        </w:tc>
        <w:tc>
          <w:tcPr>
            <w:tcW w:w="1559"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经营收入</w:t>
            </w:r>
          </w:p>
        </w:tc>
        <w:tc>
          <w:tcPr>
            <w:tcW w:w="1701"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附属单位上缴收入</w:t>
            </w:r>
          </w:p>
        </w:tc>
        <w:tc>
          <w:tcPr>
            <w:tcW w:w="122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其他收入</w:t>
            </w:r>
          </w:p>
        </w:tc>
      </w:tr>
      <w:tr>
        <w:tblPrEx>
          <w:tblCellMar>
            <w:top w:w="0" w:type="dxa"/>
            <w:left w:w="108" w:type="dxa"/>
            <w:bottom w:w="0" w:type="dxa"/>
            <w:right w:w="28" w:type="dxa"/>
          </w:tblCellMar>
        </w:tblPrEx>
        <w:trPr>
          <w:trHeight w:val="624"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功能分类科目编码</w:t>
            </w:r>
          </w:p>
        </w:tc>
        <w:tc>
          <w:tcPr>
            <w:tcW w:w="3104" w:type="dxa"/>
            <w:gridSpan w:val="3"/>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科目名称</w:t>
            </w:r>
          </w:p>
        </w:tc>
        <w:tc>
          <w:tcPr>
            <w:tcW w:w="141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9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9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701"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624"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310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41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9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9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701"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624"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310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41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9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9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55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701"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22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300" w:hRule="atLeast"/>
        </w:trPr>
        <w:tc>
          <w:tcPr>
            <w:tcW w:w="4124"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栏次</w:t>
            </w:r>
          </w:p>
        </w:tc>
        <w:tc>
          <w:tcPr>
            <w:tcW w:w="1418"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1</w:t>
            </w:r>
          </w:p>
        </w:tc>
        <w:tc>
          <w:tcPr>
            <w:tcW w:w="1294" w:type="dxa"/>
            <w:gridSpan w:val="2"/>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2</w:t>
            </w:r>
          </w:p>
        </w:tc>
        <w:tc>
          <w:tcPr>
            <w:tcW w:w="1399"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3</w:t>
            </w:r>
          </w:p>
        </w:tc>
        <w:tc>
          <w:tcPr>
            <w:tcW w:w="1559"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4</w:t>
            </w:r>
          </w:p>
        </w:tc>
        <w:tc>
          <w:tcPr>
            <w:tcW w:w="1559"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5</w:t>
            </w:r>
          </w:p>
        </w:tc>
        <w:tc>
          <w:tcPr>
            <w:tcW w:w="1701"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6</w:t>
            </w:r>
          </w:p>
        </w:tc>
        <w:tc>
          <w:tcPr>
            <w:tcW w:w="1225"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7</w:t>
            </w:r>
          </w:p>
        </w:tc>
      </w:tr>
      <w:tr>
        <w:tblPrEx>
          <w:tblCellMar>
            <w:top w:w="0" w:type="dxa"/>
            <w:left w:w="108" w:type="dxa"/>
            <w:bottom w:w="0" w:type="dxa"/>
            <w:right w:w="28" w:type="dxa"/>
          </w:tblCellMar>
        </w:tblPrEx>
        <w:trPr>
          <w:trHeight w:val="300" w:hRule="atLeast"/>
        </w:trPr>
        <w:tc>
          <w:tcPr>
            <w:tcW w:w="4124"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合计</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1404.30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1265.34</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138.96</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201</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一般公共服务支出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26.26</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26.26</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20199</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其他一般公共服务支出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26.26</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26.26</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2019901</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国家赔偿费用支出</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26.26</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26.26</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204</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公共安全支出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1173.87</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1173.87</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138.96</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20404</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检察</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1173.87</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1173.87</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138.96</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2040401</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行政运行</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1074.95</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1074.95</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18"/>
                <w:szCs w:val="20"/>
                <w:lang w:val="en-US" w:eastAsia="zh-CN"/>
              </w:rPr>
            </w:pPr>
            <w:r>
              <w:rPr>
                <w:rFonts w:hint="eastAsia" w:ascii="宋体" w:hAnsi="宋体" w:eastAsia="宋体" w:cs="Arial"/>
                <w:kern w:val="0"/>
                <w:sz w:val="18"/>
                <w:szCs w:val="20"/>
                <w:lang w:val="en-US" w:eastAsia="zh-CN"/>
              </w:rPr>
              <w:t>138.96</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2040402</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一般行政管理事务</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81.92</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81.92</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2040410</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检察监督</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17.00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17.00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18"/>
                <w:szCs w:val="20"/>
                <w:lang w:val="en-US" w:eastAsia="zh-CN"/>
              </w:rPr>
            </w:pPr>
            <w:r>
              <w:rPr>
                <w:rFonts w:hint="eastAsia" w:ascii="宋体" w:hAnsi="宋体" w:eastAsia="宋体" w:cs="Arial"/>
                <w:kern w:val="0"/>
                <w:sz w:val="18"/>
                <w:szCs w:val="20"/>
                <w:lang w:val="en-US" w:eastAsia="zh-CN"/>
              </w:rPr>
              <w:t>5.00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205</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教育支出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15.00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15.00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20508</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进修及培训</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15.00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15.00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2050803</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培训支出</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15.00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15.00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86"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社会保障和就业支出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69.67</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69.67</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20805</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行政事业单位养老支出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63.67</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63.67</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2080505</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机关事业单位基本养老保险缴费支出</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63.67</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63.67</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20899</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其他社会保障和就业支出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6.00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6.00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2089999</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其他社会保障和就业支出</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6.00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6.00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210</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卫生健康支出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48.00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48.00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21011</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行政事业单位医疗</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48.00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48.00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2101101</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行政单位医疗</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34.00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34.00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2101103</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公务员医疗补助</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14.00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14.00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221</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住房保障支出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22102</w:t>
            </w:r>
          </w:p>
        </w:tc>
        <w:tc>
          <w:tcPr>
            <w:tcW w:w="3104"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住房改革支出</w:t>
            </w:r>
          </w:p>
        </w:tc>
        <w:tc>
          <w:tcPr>
            <w:tcW w:w="1418"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294" w:type="dxa"/>
            <w:gridSpan w:val="2"/>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39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559"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701" w:type="dxa"/>
            <w:gridSpan w:val="3"/>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22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2210201</w:t>
            </w:r>
          </w:p>
        </w:tc>
        <w:tc>
          <w:tcPr>
            <w:tcW w:w="3104" w:type="dxa"/>
            <w:gridSpan w:val="3"/>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住房公积金</w:t>
            </w:r>
          </w:p>
        </w:tc>
        <w:tc>
          <w:tcPr>
            <w:tcW w:w="1418"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71.50</w:t>
            </w:r>
          </w:p>
        </w:tc>
        <w:tc>
          <w:tcPr>
            <w:tcW w:w="129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71.50</w:t>
            </w:r>
          </w:p>
        </w:tc>
        <w:tc>
          <w:tcPr>
            <w:tcW w:w="139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559"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70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22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4279" w:type="dxa"/>
            <w:gridSpan w:val="2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注：本表反映部门本年度取得的各项收入情况。</w:t>
            </w:r>
          </w:p>
        </w:tc>
      </w:tr>
    </w:tbl>
    <w:p>
      <w:r>
        <w:br w:type="page"/>
      </w:r>
    </w:p>
    <w:tbl>
      <w:tblPr>
        <w:tblStyle w:val="6"/>
        <w:tblW w:w="15606" w:type="dxa"/>
        <w:tblInd w:w="95" w:type="dxa"/>
        <w:tblLayout w:type="autofit"/>
        <w:tblCellMar>
          <w:top w:w="0" w:type="dxa"/>
          <w:left w:w="108" w:type="dxa"/>
          <w:bottom w:w="0" w:type="dxa"/>
          <w:right w:w="28" w:type="dxa"/>
        </w:tblCellMar>
      </w:tblPr>
      <w:tblGrid>
        <w:gridCol w:w="340"/>
        <w:gridCol w:w="340"/>
        <w:gridCol w:w="340"/>
        <w:gridCol w:w="4420"/>
        <w:gridCol w:w="2027"/>
        <w:gridCol w:w="1800"/>
        <w:gridCol w:w="1800"/>
        <w:gridCol w:w="1800"/>
        <w:gridCol w:w="1412"/>
        <w:gridCol w:w="1327"/>
      </w:tblGrid>
      <w:tr>
        <w:tblPrEx>
          <w:tblCellMar>
            <w:top w:w="0" w:type="dxa"/>
            <w:left w:w="108" w:type="dxa"/>
            <w:bottom w:w="0" w:type="dxa"/>
            <w:right w:w="2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27" w:type="dxa"/>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支出决算表</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27" w:type="dxa"/>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2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27"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公开03表</w:t>
            </w:r>
          </w:p>
        </w:tc>
      </w:tr>
      <w:tr>
        <w:tblPrEx>
          <w:tblCellMar>
            <w:top w:w="0" w:type="dxa"/>
            <w:left w:w="108" w:type="dxa"/>
            <w:bottom w:w="0" w:type="dxa"/>
            <w:right w:w="28" w:type="dxa"/>
          </w:tblCellMar>
        </w:tblPrEx>
        <w:trPr>
          <w:trHeight w:val="300" w:hRule="atLeast"/>
        </w:trPr>
        <w:tc>
          <w:tcPr>
            <w:tcW w:w="54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部门：邵阳市双清区人民检察院</w:t>
            </w:r>
          </w:p>
        </w:tc>
        <w:tc>
          <w:tcPr>
            <w:tcW w:w="2027"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18"/>
              </w:rPr>
            </w:pPr>
            <w:r>
              <w:rPr>
                <w:rFonts w:hint="eastAsia" w:ascii="宋体" w:hAnsi="宋体" w:eastAsia="宋体" w:cs="Arial"/>
                <w:color w:val="000000"/>
                <w:kern w:val="0"/>
                <w:sz w:val="18"/>
              </w:rPr>
              <w:t>2021年度</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2"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27"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金额单位：万元</w:t>
            </w:r>
          </w:p>
        </w:tc>
      </w:tr>
      <w:tr>
        <w:tblPrEx>
          <w:tblCellMar>
            <w:top w:w="0" w:type="dxa"/>
            <w:left w:w="108" w:type="dxa"/>
            <w:bottom w:w="0" w:type="dxa"/>
            <w:right w:w="28" w:type="dxa"/>
          </w:tblCellMar>
        </w:tblPrEx>
        <w:trPr>
          <w:trHeight w:val="300" w:hRule="atLeast"/>
        </w:trPr>
        <w:tc>
          <w:tcPr>
            <w:tcW w:w="5440"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项目</w:t>
            </w:r>
          </w:p>
        </w:tc>
        <w:tc>
          <w:tcPr>
            <w:tcW w:w="202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本年支出合计</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基本支出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项目支出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上缴上级支出</w:t>
            </w:r>
          </w:p>
        </w:tc>
        <w:tc>
          <w:tcPr>
            <w:tcW w:w="141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经营支出</w:t>
            </w:r>
          </w:p>
        </w:tc>
        <w:tc>
          <w:tcPr>
            <w:tcW w:w="132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对附属单位补助支出</w:t>
            </w:r>
          </w:p>
        </w:tc>
      </w:tr>
      <w:tr>
        <w:tblPrEx>
          <w:tblCellMar>
            <w:top w:w="0" w:type="dxa"/>
            <w:left w:w="108" w:type="dxa"/>
            <w:bottom w:w="0" w:type="dxa"/>
            <w:right w:w="28" w:type="dxa"/>
          </w:tblCellMar>
        </w:tblPrEx>
        <w:trPr>
          <w:trHeight w:val="624"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功能分类科目编码</w:t>
            </w:r>
          </w:p>
        </w:tc>
        <w:tc>
          <w:tcPr>
            <w:tcW w:w="442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科目名称</w:t>
            </w:r>
          </w:p>
        </w:tc>
        <w:tc>
          <w:tcPr>
            <w:tcW w:w="20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624"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4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20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624"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4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20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4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c>
          <w:tcPr>
            <w:tcW w:w="13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18"/>
                <w:szCs w:val="20"/>
              </w:rPr>
            </w:pPr>
          </w:p>
        </w:tc>
      </w:tr>
      <w:tr>
        <w:tblPrEx>
          <w:tblCellMar>
            <w:top w:w="0" w:type="dxa"/>
            <w:left w:w="108" w:type="dxa"/>
            <w:bottom w:w="0" w:type="dxa"/>
            <w:right w:w="28" w:type="dxa"/>
          </w:tblCellMar>
        </w:tblPrEx>
        <w:trPr>
          <w:trHeight w:val="300" w:hRule="atLeast"/>
        </w:trPr>
        <w:tc>
          <w:tcPr>
            <w:tcW w:w="5440"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栏次</w:t>
            </w:r>
          </w:p>
        </w:tc>
        <w:tc>
          <w:tcPr>
            <w:tcW w:w="2027"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1</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2</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3</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4</w:t>
            </w:r>
          </w:p>
        </w:tc>
        <w:tc>
          <w:tcPr>
            <w:tcW w:w="141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5</w:t>
            </w:r>
          </w:p>
        </w:tc>
        <w:tc>
          <w:tcPr>
            <w:tcW w:w="1327"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18"/>
                <w:szCs w:val="20"/>
              </w:rPr>
            </w:pPr>
            <w:r>
              <w:rPr>
                <w:rFonts w:hint="eastAsia" w:ascii="宋体" w:hAnsi="宋体" w:eastAsia="宋体" w:cs="Arial"/>
                <w:kern w:val="0"/>
                <w:sz w:val="18"/>
                <w:szCs w:val="20"/>
              </w:rPr>
              <w:t>6</w:t>
            </w:r>
          </w:p>
        </w:tc>
      </w:tr>
      <w:tr>
        <w:tblPrEx>
          <w:tblCellMar>
            <w:top w:w="0" w:type="dxa"/>
            <w:left w:w="108" w:type="dxa"/>
            <w:bottom w:w="0" w:type="dxa"/>
            <w:right w:w="28" w:type="dxa"/>
          </w:tblCellMar>
        </w:tblPrEx>
        <w:trPr>
          <w:trHeight w:val="300" w:hRule="atLeast"/>
        </w:trPr>
        <w:tc>
          <w:tcPr>
            <w:tcW w:w="5440"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合计</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1560.05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1307.90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252.16</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201</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一般公共服务支出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26.25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20199</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其他一般公共服务支出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26.25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26.25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2019901</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国家赔偿费用支出</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26.25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262,531.84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204</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公共安全支出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1346.16</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1120.25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225.90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20404</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检察</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1346.16</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1120.25</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hint="default" w:ascii="宋体" w:hAnsi="宋体" w:eastAsia="宋体" w:cs="Arial"/>
                <w:b/>
                <w:bCs/>
                <w:kern w:val="0"/>
                <w:sz w:val="18"/>
                <w:szCs w:val="20"/>
                <w:lang w:val="en-US" w:eastAsia="zh-CN"/>
              </w:rPr>
            </w:pPr>
            <w:r>
              <w:rPr>
                <w:rFonts w:hint="eastAsia" w:ascii="宋体" w:hAnsi="宋体" w:eastAsia="宋体" w:cs="Arial"/>
                <w:b/>
                <w:bCs/>
                <w:kern w:val="0"/>
                <w:sz w:val="18"/>
                <w:szCs w:val="20"/>
                <w:lang w:val="en-US" w:eastAsia="zh-CN"/>
              </w:rPr>
              <w:t>225.90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2040401</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行政运行</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1103.25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1103.25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2040402</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一般行政管理事务</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225.90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18"/>
                <w:szCs w:val="20"/>
                <w:lang w:val="en-US" w:eastAsia="zh-CN"/>
              </w:rPr>
            </w:pPr>
            <w:r>
              <w:rPr>
                <w:rFonts w:hint="eastAsia" w:ascii="宋体" w:hAnsi="宋体" w:eastAsia="宋体" w:cs="Arial"/>
                <w:kern w:val="0"/>
                <w:sz w:val="18"/>
                <w:szCs w:val="20"/>
                <w:lang w:val="en-US" w:eastAsia="zh-CN"/>
              </w:rPr>
              <w:t>225.90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2040410</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检察监督</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17.00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17.00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205</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教育支出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1.62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1.62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20508</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进修及培训</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1.62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1.62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2050803</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培训支出</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1.62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1.62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社会保障和就业支出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67.71</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67.71</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20805</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行政事业单位养老支出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63.67</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63.67</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2080505</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机关事业单位基本养老保险缴费支出</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63.67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63.67</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20899</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其他社会保障和就业支出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4.04</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4.04</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2089999</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其他社会保障和就业支出</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4.04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4.04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210</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卫生健康支出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46.82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46.82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21011</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行政事业单位医疗</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46.82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46.82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2101101</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行政单位医疗</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34.00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34.00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2101103</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公务员医疗补助</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12.82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12.82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221</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住房保障支出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22102</w:t>
            </w:r>
          </w:p>
        </w:tc>
        <w:tc>
          <w:tcPr>
            <w:tcW w:w="44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18"/>
                <w:szCs w:val="20"/>
              </w:rPr>
            </w:pPr>
            <w:r>
              <w:rPr>
                <w:rFonts w:hint="eastAsia" w:ascii="宋体" w:hAnsi="宋体" w:eastAsia="宋体" w:cs="Arial"/>
                <w:b/>
                <w:bCs/>
                <w:kern w:val="0"/>
                <w:sz w:val="18"/>
                <w:szCs w:val="20"/>
              </w:rPr>
              <w:t>住房改革支出</w:t>
            </w:r>
          </w:p>
        </w:tc>
        <w:tc>
          <w:tcPr>
            <w:tcW w:w="20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71.50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41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c>
          <w:tcPr>
            <w:tcW w:w="1327"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18"/>
                <w:szCs w:val="20"/>
              </w:rPr>
            </w:pPr>
            <w:r>
              <w:rPr>
                <w:rFonts w:hint="eastAsia" w:ascii="宋体" w:hAnsi="宋体" w:eastAsia="宋体" w:cs="Arial"/>
                <w:b/>
                <w:bCs/>
                <w:kern w:val="0"/>
                <w:sz w:val="18"/>
                <w:szCs w:val="20"/>
              </w:rPr>
              <w:t>0.00</w:t>
            </w:r>
          </w:p>
        </w:tc>
      </w:tr>
      <w:tr>
        <w:tblPrEx>
          <w:tblCellMar>
            <w:top w:w="0" w:type="dxa"/>
            <w:left w:w="108" w:type="dxa"/>
            <w:bottom w:w="0" w:type="dxa"/>
            <w:right w:w="2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2210201</w:t>
            </w:r>
          </w:p>
        </w:tc>
        <w:tc>
          <w:tcPr>
            <w:tcW w:w="44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 xml:space="preserve">  住房公积金</w:t>
            </w:r>
          </w:p>
        </w:tc>
        <w:tc>
          <w:tcPr>
            <w:tcW w:w="20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71.50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b/>
                <w:bCs/>
                <w:kern w:val="0"/>
                <w:sz w:val="18"/>
                <w:szCs w:val="20"/>
              </w:rPr>
              <w:t>71.50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c>
          <w:tcPr>
            <w:tcW w:w="13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8"/>
                <w:szCs w:val="20"/>
              </w:rPr>
            </w:pPr>
            <w:r>
              <w:rPr>
                <w:rFonts w:hint="eastAsia" w:ascii="宋体" w:hAnsi="宋体" w:eastAsia="宋体" w:cs="Arial"/>
                <w:kern w:val="0"/>
                <w:sz w:val="18"/>
                <w:szCs w:val="20"/>
              </w:rPr>
              <w:t>0.00</w:t>
            </w:r>
          </w:p>
        </w:tc>
      </w:tr>
      <w:tr>
        <w:tblPrEx>
          <w:tblCellMar>
            <w:top w:w="0" w:type="dxa"/>
            <w:left w:w="108" w:type="dxa"/>
            <w:bottom w:w="0" w:type="dxa"/>
            <w:right w:w="28" w:type="dxa"/>
          </w:tblCellMar>
        </w:tblPrEx>
        <w:trPr>
          <w:trHeight w:val="300" w:hRule="atLeast"/>
        </w:trPr>
        <w:tc>
          <w:tcPr>
            <w:tcW w:w="15606"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20"/>
              </w:rPr>
            </w:pPr>
            <w:r>
              <w:rPr>
                <w:rFonts w:hint="eastAsia" w:ascii="宋体" w:hAnsi="宋体" w:eastAsia="宋体" w:cs="Arial"/>
                <w:kern w:val="0"/>
                <w:sz w:val="18"/>
                <w:szCs w:val="20"/>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widowControl/>
        <w:rPr>
          <w:rFonts w:ascii="Times New Roman" w:hAnsi="Times New Roman" w:eastAsia="方正小标宋_GBK" w:cs="Times New Roman"/>
          <w:color w:val="000000"/>
          <w:kern w:val="0"/>
          <w:sz w:val="36"/>
          <w:szCs w:val="36"/>
        </w:rPr>
      </w:pPr>
    </w:p>
    <w:tbl>
      <w:tblPr>
        <w:tblStyle w:val="6"/>
        <w:tblW w:w="0" w:type="auto"/>
        <w:tblInd w:w="93" w:type="dxa"/>
        <w:tblLayout w:type="autofit"/>
        <w:tblCellMar>
          <w:top w:w="0" w:type="dxa"/>
          <w:left w:w="108" w:type="dxa"/>
          <w:bottom w:w="0" w:type="dxa"/>
          <w:right w:w="108" w:type="dxa"/>
        </w:tblCellMar>
      </w:tblPr>
      <w:tblGrid>
        <w:gridCol w:w="4056"/>
        <w:gridCol w:w="503"/>
        <w:gridCol w:w="866"/>
        <w:gridCol w:w="1073"/>
        <w:gridCol w:w="1073"/>
        <w:gridCol w:w="1070"/>
        <w:gridCol w:w="1151"/>
        <w:gridCol w:w="866"/>
        <w:gridCol w:w="1451"/>
        <w:gridCol w:w="1283"/>
        <w:gridCol w:w="2129"/>
      </w:tblGrid>
      <w:tr>
        <w:tblPrEx>
          <w:tblCellMar>
            <w:top w:w="0" w:type="dxa"/>
            <w:left w:w="108" w:type="dxa"/>
            <w:bottom w:w="0" w:type="dxa"/>
            <w:right w:w="108" w:type="dxa"/>
          </w:tblCellMar>
        </w:tblPrEx>
        <w:trPr>
          <w:gridAfter w:val="4"/>
          <w:wAfter w:w="5684" w:type="dxa"/>
          <w:trHeight w:val="375" w:hRule="atLeast"/>
        </w:trPr>
        <w:tc>
          <w:tcPr>
            <w:tcW w:w="0" w:type="auto"/>
            <w:tcBorders>
              <w:top w:val="nil"/>
              <w:left w:val="nil"/>
              <w:bottom w:val="nil"/>
              <w:right w:val="nil"/>
            </w:tcBorders>
            <w:shd w:val="clear" w:color="000000" w:fill="FFFFFF"/>
            <w:noWrap/>
            <w:vAlign w:val="center"/>
          </w:tcPr>
          <w:p>
            <w:pPr>
              <w:pStyle w:val="5"/>
              <w:adjustRightInd w:val="0"/>
              <w:snapToGrid w:val="0"/>
              <w:spacing w:before="0" w:beforeAutospacing="0" w:after="0" w:afterAutospacing="0" w:line="400" w:lineRule="exact"/>
              <w:jc w:val="center"/>
              <w:outlineLvl w:val="1"/>
              <w:rPr>
                <w:rFonts w:ascii="楷体_GB2312" w:hAnsi="楷体" w:eastAsia="楷体_GB2312" w:cs="楷体"/>
                <w:sz w:val="32"/>
                <w:szCs w:val="32"/>
                <w:shd w:val="clear" w:color="auto" w:fill="FFFFFF"/>
              </w:rPr>
            </w:pPr>
            <w:bookmarkStart w:id="2" w:name="_Toc20129"/>
            <w:r>
              <w:rPr>
                <w:rFonts w:hint="eastAsia" w:ascii="楷体_GB2312" w:hAnsi="楷体" w:eastAsia="楷体_GB2312" w:cs="楷体"/>
                <w:sz w:val="32"/>
                <w:szCs w:val="32"/>
                <w:shd w:val="clear" w:color="auto" w:fill="FFFFFF"/>
              </w:rPr>
              <w:t>财政拨款收入支出决算总表</w:t>
            </w:r>
            <w:bookmarkEnd w:id="2"/>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0" w:type="auto"/>
            <w:gridSpan w:val="8"/>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0" w:type="auto"/>
            <w:gridSpan w:val="3"/>
            <w:vMerge w:val="restart"/>
            <w:tcBorders>
              <w:top w:val="nil"/>
              <w:left w:val="nil"/>
              <w:bottom w:val="single" w:color="000000" w:sz="4" w:space="0"/>
              <w:right w:val="single" w:color="000000" w:sz="4" w:space="0"/>
            </w:tcBorders>
            <w:shd w:val="clear" w:color="000000" w:fill="C0C0C0"/>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gridSpan w:val="3"/>
            <w:tcBorders>
              <w:top w:val="nil"/>
              <w:left w:val="nil"/>
              <w:bottom w:val="single" w:color="000000" w:sz="4" w:space="0"/>
              <w:right w:val="single" w:color="000000" w:sz="4" w:space="0"/>
            </w:tcBorders>
            <w:shd w:val="clear" w:color="000000" w:fill="C0C0C0"/>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1265.34</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26.25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26.25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1207.20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1207.20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46.82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46.82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1265.34</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1421.10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1421.10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311.19</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311.19</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1576.53</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1576.53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1576.53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rPr>
          <w:rFonts w:ascii="Times New Roman" w:hAnsi="Times New Roman" w:eastAsia="方正小标宋_GBK" w:cs="Times New Roman"/>
          <w:color w:val="000000"/>
          <w:kern w:val="0"/>
          <w:sz w:val="36"/>
          <w:szCs w:val="21"/>
        </w:rPr>
      </w:pPr>
      <w:r>
        <w:rPr>
          <w:rFonts w:hint="eastAsia" w:cs="Arial"/>
          <w:sz w:val="20"/>
          <w:szCs w:val="20"/>
        </w:rPr>
        <w:t>注：本表反映部门本年度一般公共预算财政拨款、政府性基金预算财政拨款和国有资本经营预算财政拨款的总收支和年末结转结余情况。</w:t>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574"/>
        <w:gridCol w:w="3547"/>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3" w:name="RANGE!A1:I22"/>
            <w:bookmarkEnd w:id="3"/>
            <w:bookmarkStart w:id="4"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4"/>
    <w:p>
      <w:pPr>
        <w:widowControl/>
        <w:jc w:val="left"/>
        <w:rPr>
          <w:rFonts w:ascii="Times New Roman" w:hAnsi="Times New Roman" w:eastAsia="仿宋_GB2312" w:cs="Times New Roman"/>
          <w:bCs/>
          <w:kern w:val="0"/>
          <w:szCs w:val="21"/>
        </w:rPr>
      </w:pPr>
    </w:p>
    <w:p>
      <w:pPr>
        <w:pStyle w:val="5"/>
        <w:adjustRightInd w:val="0"/>
        <w:snapToGrid w:val="0"/>
        <w:spacing w:before="0" w:beforeAutospacing="0" w:after="0" w:afterAutospacing="0"/>
        <w:ind w:firstLine="480" w:firstLineChars="150"/>
        <w:jc w:val="center"/>
        <w:outlineLvl w:val="1"/>
        <w:rPr>
          <w:rFonts w:ascii="楷体_GB2312" w:hAnsi="楷体" w:eastAsia="楷体_GB2312" w:cs="楷体"/>
          <w:sz w:val="32"/>
          <w:szCs w:val="32"/>
          <w:shd w:val="clear" w:color="auto" w:fill="FFFFFF"/>
        </w:rPr>
      </w:pPr>
    </w:p>
    <w:tbl>
      <w:tblPr>
        <w:tblStyle w:val="6"/>
        <w:tblW w:w="13806" w:type="dxa"/>
        <w:tblInd w:w="95" w:type="dxa"/>
        <w:tblLayout w:type="autofit"/>
        <w:tblCellMar>
          <w:top w:w="0" w:type="dxa"/>
          <w:left w:w="108" w:type="dxa"/>
          <w:bottom w:w="0" w:type="dxa"/>
          <w:right w:w="108" w:type="dxa"/>
        </w:tblCellMar>
      </w:tblPr>
      <w:tblGrid>
        <w:gridCol w:w="1036"/>
        <w:gridCol w:w="1035"/>
        <w:gridCol w:w="1035"/>
        <w:gridCol w:w="3920"/>
        <w:gridCol w:w="2260"/>
        <w:gridCol w:w="2260"/>
        <w:gridCol w:w="2260"/>
      </w:tblGrid>
      <w:tr>
        <w:tblPrEx>
          <w:tblCellMar>
            <w:top w:w="0" w:type="dxa"/>
            <w:left w:w="108" w:type="dxa"/>
            <w:bottom w:w="0" w:type="dxa"/>
            <w:right w:w="108" w:type="dxa"/>
          </w:tblCellMar>
        </w:tblPrEx>
        <w:trPr>
          <w:trHeight w:val="375" w:hRule="atLeast"/>
        </w:trPr>
        <w:tc>
          <w:tcPr>
            <w:tcW w:w="10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p>
        </w:tc>
        <w:tc>
          <w:tcPr>
            <w:tcW w:w="3920" w:type="dxa"/>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24"/>
                <w:szCs w:val="30"/>
              </w:rPr>
              <w:t>一般公共预算财政拨款支出决算表</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10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3106"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部门：邵阳市双清区人民检察院</w:t>
            </w:r>
          </w:p>
        </w:tc>
        <w:tc>
          <w:tcPr>
            <w:tcW w:w="392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22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7026"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80"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3106"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310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310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026"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7026"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1421.10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1168.94</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252.16</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26.25</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26.25</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20199</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其他一般公共服务支出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26.25</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26.25</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2019901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26.25</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26.25</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1207.20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981.29</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225.90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1207.20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981.29</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225.90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969.29</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969.29</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225.90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225.90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67.71</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67.71</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63.67</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63.67</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b/>
                <w:bCs/>
                <w:kern w:val="0"/>
                <w:sz w:val="20"/>
                <w:szCs w:val="20"/>
              </w:rPr>
              <w:t>63.67</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b/>
                <w:bCs/>
                <w:kern w:val="0"/>
                <w:sz w:val="20"/>
                <w:szCs w:val="20"/>
              </w:rPr>
              <w:t>63.67</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4.04</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4.04</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2089999</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4.04</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b/>
                <w:bCs/>
                <w:kern w:val="0"/>
                <w:sz w:val="20"/>
                <w:szCs w:val="20"/>
              </w:rPr>
              <w:t>4.04</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46.82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46.82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46.82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46.82</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34.00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12.82</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12.82</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71.50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71.50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71.50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71.50</w:t>
            </w:r>
          </w:p>
        </w:tc>
        <w:tc>
          <w:tcPr>
            <w:tcW w:w="226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3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b/>
                <w:bCs/>
                <w:kern w:val="0"/>
                <w:sz w:val="20"/>
                <w:szCs w:val="20"/>
              </w:rPr>
              <w:t>71.50</w:t>
            </w:r>
          </w:p>
        </w:tc>
        <w:tc>
          <w:tcPr>
            <w:tcW w:w="2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3806"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pStyle w:val="5"/>
        <w:adjustRightInd w:val="0"/>
        <w:snapToGrid w:val="0"/>
        <w:spacing w:before="0" w:beforeAutospacing="0" w:after="0" w:afterAutospacing="0"/>
        <w:ind w:firstLine="480" w:firstLineChars="150"/>
        <w:jc w:val="center"/>
        <w:outlineLvl w:val="1"/>
        <w:rPr>
          <w:rFonts w:ascii="楷体_GB2312" w:hAnsi="楷体" w:eastAsia="楷体_GB2312" w:cs="楷体"/>
          <w:sz w:val="32"/>
          <w:szCs w:val="32"/>
          <w:shd w:val="clear" w:color="auto" w:fill="FFFFFF"/>
        </w:rPr>
      </w:pPr>
    </w:p>
    <w:p>
      <w:bookmarkStart w:id="5" w:name="_Toc21182"/>
      <w:r>
        <w:br w:type="page"/>
      </w:r>
    </w:p>
    <w:tbl>
      <w:tblPr>
        <w:tblStyle w:val="6"/>
        <w:tblW w:w="0" w:type="auto"/>
        <w:tblInd w:w="0" w:type="dxa"/>
        <w:tblLayout w:type="autofit"/>
        <w:tblCellMar>
          <w:top w:w="0" w:type="dxa"/>
          <w:left w:w="108" w:type="dxa"/>
          <w:bottom w:w="0" w:type="dxa"/>
          <w:right w:w="108" w:type="dxa"/>
        </w:tblCellMar>
      </w:tblPr>
      <w:tblGrid>
        <w:gridCol w:w="1115"/>
        <w:gridCol w:w="4106"/>
        <w:gridCol w:w="1020"/>
        <w:gridCol w:w="379"/>
        <w:gridCol w:w="306"/>
        <w:gridCol w:w="2092"/>
        <w:gridCol w:w="732"/>
        <w:gridCol w:w="685"/>
        <w:gridCol w:w="3781"/>
        <w:gridCol w:w="1398"/>
      </w:tblGrid>
      <w:tr>
        <w:tblPrEx>
          <w:tblCellMar>
            <w:top w:w="0" w:type="dxa"/>
            <w:left w:w="108" w:type="dxa"/>
            <w:bottom w:w="0" w:type="dxa"/>
            <w:right w:w="108" w:type="dxa"/>
          </w:tblCellMar>
        </w:tblPrEx>
        <w:trPr>
          <w:gridAfter w:val="6"/>
          <w:wAfter w:w="9182" w:type="dxa"/>
          <w:trHeight w:val="481" w:hRule="exact"/>
        </w:trPr>
        <w:tc>
          <w:tcPr>
            <w:tcW w:w="0" w:type="auto"/>
            <w:gridSpan w:val="4"/>
            <w:tcBorders>
              <w:top w:val="nil"/>
              <w:left w:val="nil"/>
              <w:bottom w:val="nil"/>
              <w:right w:val="nil"/>
            </w:tcBorders>
            <w:shd w:val="clear" w:color="auto" w:fill="auto"/>
            <w:noWrap/>
            <w:vAlign w:val="center"/>
          </w:tcPr>
          <w:p>
            <w:pPr>
              <w:pStyle w:val="5"/>
              <w:spacing w:before="0" w:beforeAutospacing="0"/>
              <w:ind w:firstLine="480" w:firstLineChars="150"/>
              <w:outlineLvl w:val="1"/>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一般公共预算财政拨款基本支出决算表表表</w:t>
            </w:r>
            <w:bookmarkEnd w:id="5"/>
          </w:p>
          <w:p>
            <w:pPr>
              <w:pStyle w:val="5"/>
              <w:spacing w:before="0" w:beforeAutospacing="0"/>
              <w:ind w:firstLine="480" w:firstLineChars="150"/>
              <w:outlineLvl w:val="1"/>
              <w:rPr>
                <w:rFonts w:ascii="楷体_GB2312" w:hAnsi="楷体" w:eastAsia="楷体_GB2312" w:cs="楷体"/>
                <w:sz w:val="32"/>
                <w:szCs w:val="32"/>
                <w:shd w:val="clear" w:color="auto" w:fill="FFFFFF"/>
              </w:rPr>
            </w:pPr>
          </w:p>
          <w:p>
            <w:pPr>
              <w:pStyle w:val="5"/>
              <w:spacing w:before="0" w:beforeAutospacing="0"/>
              <w:ind w:firstLine="480" w:firstLineChars="150"/>
              <w:outlineLvl w:val="1"/>
              <w:rPr>
                <w:rFonts w:ascii="楷体_GB2312" w:hAnsi="楷体" w:eastAsia="楷体_GB2312" w:cs="楷体"/>
                <w:sz w:val="32"/>
                <w:szCs w:val="32"/>
                <w:shd w:val="clear" w:color="auto" w:fill="FFFFFF"/>
              </w:rPr>
            </w:pPr>
          </w:p>
          <w:p>
            <w:pPr>
              <w:widowControl/>
              <w:jc w:val="left"/>
              <w:rPr>
                <w:rFonts w:ascii="宋体" w:hAnsi="宋体" w:eastAsia="宋体" w:cs="宋体"/>
                <w:color w:val="000000"/>
                <w:kern w:val="0"/>
                <w:szCs w:val="24"/>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公开06表</w:t>
            </w:r>
          </w:p>
        </w:tc>
      </w:tr>
      <w:tr>
        <w:tblPrEx>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0" w:type="auto"/>
            <w:gridSpan w:val="7"/>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0" w:type="auto"/>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702.63</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411.83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204.19</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66.80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155.15</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117.72</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70.45</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22.48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23.38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28.39</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41.30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2.87</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15.42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71.50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52.36</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13.60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54.48</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39.83</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0.79</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34.28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13.86</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92.20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757.11</w:t>
            </w:r>
          </w:p>
        </w:tc>
        <w:tc>
          <w:tcPr>
            <w:tcW w:w="0" w:type="auto"/>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411.83</w:t>
            </w:r>
          </w:p>
        </w:tc>
      </w:tr>
    </w:tbl>
    <w:p>
      <w:pPr>
        <w:widowControl/>
        <w:rPr>
          <w:rFonts w:ascii="Times New Roman" w:hAnsi="Times New Roman" w:eastAsia="方正小标宋_GBK" w:cs="Times New Roman"/>
          <w:color w:val="000000"/>
          <w:kern w:val="0"/>
          <w:sz w:val="36"/>
          <w:szCs w:val="36"/>
        </w:rPr>
      </w:pPr>
      <w:r>
        <w:rPr>
          <w:rFonts w:hint="eastAsia" w:cs="Arial"/>
          <w:sz w:val="20"/>
          <w:szCs w:val="20"/>
        </w:rPr>
        <w:t>注：本表反映部门本年度一般公共预算财政拨款基本支出明细情况。</w:t>
      </w:r>
    </w:p>
    <w:p>
      <w:pPr>
        <w:rPr>
          <w:rFonts w:hint="eastAsia" w:ascii="楷体_GB2312" w:hAnsi="楷体" w:eastAsia="楷体_GB2312" w:cs="楷体"/>
          <w:sz w:val="32"/>
          <w:szCs w:val="32"/>
          <w:shd w:val="clear" w:color="auto" w:fill="FFFFFF"/>
        </w:rPr>
      </w:pPr>
      <w:bookmarkStart w:id="6" w:name="_Toc15088"/>
      <w:r>
        <w:rPr>
          <w:rFonts w:hint="eastAsia" w:ascii="楷体_GB2312" w:hAnsi="楷体" w:eastAsia="楷体_GB2312" w:cs="楷体"/>
          <w:sz w:val="32"/>
          <w:szCs w:val="32"/>
          <w:shd w:val="clear" w:color="auto" w:fill="FFFFFF"/>
        </w:rPr>
        <w:br w:type="page"/>
      </w:r>
    </w:p>
    <w:p>
      <w:pPr>
        <w:widowControl/>
        <w:rPr>
          <w:rFonts w:ascii="Times New Roman" w:hAnsi="Times New Roman" w:eastAsia="方正小标宋_GBK" w:cs="Times New Roman"/>
          <w:color w:val="000000"/>
          <w:kern w:val="0"/>
          <w:sz w:val="36"/>
          <w:szCs w:val="36"/>
        </w:rPr>
      </w:pPr>
      <w:r>
        <w:rPr>
          <w:rFonts w:hint="eastAsia" w:ascii="楷体_GB2312" w:hAnsi="楷体" w:eastAsia="楷体_GB2312" w:cs="楷体"/>
          <w:sz w:val="32"/>
          <w:szCs w:val="32"/>
          <w:shd w:val="clear" w:color="auto" w:fill="FFFFFF"/>
        </w:rPr>
        <w:t>七、一般公共预算财政拨款“三公”经费支出决算表</w:t>
      </w:r>
      <w:bookmarkEnd w:id="6"/>
    </w:p>
    <w:tbl>
      <w:tblPr>
        <w:tblStyle w:val="6"/>
        <w:tblW w:w="0" w:type="auto"/>
        <w:tblInd w:w="93" w:type="dxa"/>
        <w:tblLayout w:type="autofit"/>
        <w:tblCellMar>
          <w:top w:w="0" w:type="dxa"/>
          <w:left w:w="108" w:type="dxa"/>
          <w:bottom w:w="0" w:type="dxa"/>
          <w:right w:w="108" w:type="dxa"/>
        </w:tblCellMar>
      </w:tblPr>
      <w:tblGrid>
        <w:gridCol w:w="1438"/>
        <w:gridCol w:w="1770"/>
        <w:gridCol w:w="727"/>
        <w:gridCol w:w="1360"/>
        <w:gridCol w:w="1318"/>
        <w:gridCol w:w="1301"/>
        <w:gridCol w:w="727"/>
        <w:gridCol w:w="1557"/>
        <w:gridCol w:w="727"/>
        <w:gridCol w:w="1360"/>
        <w:gridCol w:w="1318"/>
        <w:gridCol w:w="1918"/>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bookmarkStart w:id="7" w:name="_Toc16750"/>
            <w:r>
              <w:rPr>
                <w:rFonts w:hint="eastAsia" w:ascii="宋体" w:hAnsi="宋体" w:eastAsia="宋体" w:cs="Arial"/>
                <w:kern w:val="0"/>
                <w:sz w:val="22"/>
              </w:rPr>
              <w:t>预算代码：</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color w:val="000000"/>
                <w:kern w:val="0"/>
                <w:sz w:val="22"/>
              </w:rPr>
              <w:t>2021年度</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kern w:val="0"/>
                <w:sz w:val="22"/>
                <w:highlight w:val="yellow"/>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0" w:type="auto"/>
            <w:gridSpan w:val="6"/>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444" w:hRule="atLeast"/>
        </w:trPr>
        <w:tc>
          <w:tcPr>
            <w:tcW w:w="0" w:type="auto"/>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00FF00"/>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00FF00"/>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32.69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31.04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24.80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w:t>
            </w:r>
          </w:p>
        </w:tc>
      </w:tr>
      <w:tr>
        <w:tblPrEx>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p>
    <w:p>
      <w:pPr>
        <w:pStyle w:val="5"/>
        <w:spacing w:before="0" w:beforeAutospacing="0"/>
        <w:ind w:firstLine="480" w:firstLineChars="150"/>
        <w:outlineLvl w:val="1"/>
        <w:rPr>
          <w:rStyle w:val="8"/>
          <w:rFonts w:asciiTheme="minorEastAsia" w:hAnsiTheme="minorEastAsia" w:eastAsiaTheme="minorEastAsia"/>
          <w:b w:val="0"/>
          <w:sz w:val="32"/>
          <w:szCs w:val="32"/>
        </w:rPr>
      </w:pPr>
      <w:r>
        <w:rPr>
          <w:rStyle w:val="8"/>
          <w:rFonts w:hint="eastAsia" w:asciiTheme="minorEastAsia" w:hAnsiTheme="minorEastAsia" w:eastAsiaTheme="minorEastAsia"/>
          <w:b w:val="0"/>
          <w:sz w:val="32"/>
          <w:szCs w:val="32"/>
        </w:rPr>
        <w:t>八、政府性基金预算财政拨款收入支出决算表</w:t>
      </w:r>
      <w:bookmarkEnd w:id="7"/>
    </w:p>
    <w:p>
      <w:pPr>
        <w:autoSpaceDE w:val="0"/>
        <w:autoSpaceDN w:val="0"/>
        <w:adjustRightInd w:val="0"/>
        <w:ind w:left="315" w:leftChars="150"/>
        <w:jc w:val="left"/>
        <w:rPr>
          <w:rFonts w:ascii="宋体" w:eastAsia="宋体" w:cs="宋体"/>
          <w:kern w:val="0"/>
          <w:sz w:val="24"/>
          <w:szCs w:val="24"/>
        </w:rPr>
      </w:pPr>
    </w:p>
    <w:tbl>
      <w:tblPr>
        <w:tblStyle w:val="6"/>
        <w:tblW w:w="0" w:type="auto"/>
        <w:tblInd w:w="93" w:type="dxa"/>
        <w:tblLayout w:type="autofit"/>
        <w:tblCellMar>
          <w:top w:w="0" w:type="dxa"/>
          <w:left w:w="108" w:type="dxa"/>
          <w:bottom w:w="0" w:type="dxa"/>
          <w:right w:w="108" w:type="dxa"/>
        </w:tblCellMar>
      </w:tblPr>
      <w:tblGrid>
        <w:gridCol w:w="698"/>
        <w:gridCol w:w="698"/>
        <w:gridCol w:w="698"/>
        <w:gridCol w:w="1202"/>
        <w:gridCol w:w="547"/>
        <w:gridCol w:w="1074"/>
        <w:gridCol w:w="1470"/>
        <w:gridCol w:w="548"/>
        <w:gridCol w:w="1151"/>
        <w:gridCol w:w="811"/>
        <w:gridCol w:w="548"/>
        <w:gridCol w:w="811"/>
        <w:gridCol w:w="811"/>
        <w:gridCol w:w="548"/>
        <w:gridCol w:w="1075"/>
        <w:gridCol w:w="1075"/>
        <w:gridCol w:w="1756"/>
      </w:tblGrid>
      <w:tr>
        <w:tblPrEx>
          <w:tblCellMar>
            <w:top w:w="0" w:type="dxa"/>
            <w:left w:w="108" w:type="dxa"/>
            <w:bottom w:w="0" w:type="dxa"/>
            <w:right w:w="108" w:type="dxa"/>
          </w:tblCellMar>
        </w:tblPrEx>
        <w:trPr>
          <w:gridAfter w:val="1"/>
          <w:wAfter w:w="1756" w:type="dxa"/>
          <w:trHeight w:val="375"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left"/>
              <w:rPr>
                <w:rFonts w:ascii="宋体" w:hAnsi="宋体" w:eastAsia="宋体" w:cs="Arial"/>
                <w:kern w:val="0"/>
                <w:sz w:val="18"/>
                <w:szCs w:val="18"/>
              </w:rPr>
            </w:pP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0" w:type="auto"/>
            <w:gridSpan w:val="4"/>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00"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项目支出结转和结余</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基本支出结转</w:t>
            </w:r>
          </w:p>
        </w:tc>
        <w:tc>
          <w:tcPr>
            <w:tcW w:w="0" w:type="auto"/>
            <w:gridSpan w:val="2"/>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项目支出结转和结余</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项目支出结余</w:t>
            </w:r>
          </w:p>
        </w:tc>
      </w:tr>
      <w:tr>
        <w:tblPrEx>
          <w:tblCellMar>
            <w:top w:w="0" w:type="dxa"/>
            <w:left w:w="108" w:type="dxa"/>
            <w:bottom w:w="0" w:type="dxa"/>
            <w:right w:w="108" w:type="dxa"/>
          </w:tblCellMar>
        </w:tblPrEx>
        <w:trPr>
          <w:trHeight w:val="600"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0" w:type="auto"/>
            <w:tcBorders>
              <w:top w:val="nil"/>
              <w:left w:val="nil"/>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r>
      <w:tr>
        <w:tblPrEx>
          <w:tblCellMar>
            <w:top w:w="0" w:type="dxa"/>
            <w:left w:w="108" w:type="dxa"/>
            <w:bottom w:w="0" w:type="dxa"/>
            <w:right w:w="108" w:type="dxa"/>
          </w:tblCellMar>
        </w:tblPrEx>
        <w:trPr>
          <w:trHeight w:val="259"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p>
        </w:tc>
      </w:tr>
    </w:tbl>
    <w:p>
      <w:pPr>
        <w:pStyle w:val="5"/>
        <w:spacing w:before="0" w:beforeAutospacing="0"/>
        <w:ind w:firstLine="500" w:firstLineChars="250"/>
        <w:outlineLvl w:val="1"/>
        <w:rPr>
          <w:rFonts w:cs="楷体" w:asciiTheme="minorEastAsia" w:hAnsiTheme="minorEastAsia" w:eastAsiaTheme="minorEastAsia"/>
          <w:sz w:val="20"/>
          <w:szCs w:val="20"/>
          <w:shd w:val="clear" w:color="auto" w:fill="FFFFFF"/>
        </w:rPr>
      </w:pPr>
      <w:r>
        <w:rPr>
          <w:rFonts w:hint="eastAsia" w:cs="宋体"/>
          <w:color w:val="000000"/>
          <w:sz w:val="20"/>
          <w:szCs w:val="20"/>
        </w:rPr>
        <w:t>注：本表反映部门本年度政府性基金预算财政拨款收入、支出及结转和结余情况。</w:t>
      </w:r>
      <w:r>
        <w:rPr>
          <w:rFonts w:hint="eastAsia" w:cs="楷体" w:asciiTheme="minorEastAsia" w:hAnsiTheme="minorEastAsia" w:eastAsiaTheme="minorEastAsia"/>
          <w:sz w:val="20"/>
          <w:szCs w:val="20"/>
          <w:shd w:val="clear" w:color="auto" w:fill="FFFFFF"/>
        </w:rPr>
        <w:t>202</w:t>
      </w:r>
      <w:r>
        <w:rPr>
          <w:rFonts w:hint="eastAsia" w:cs="楷体" w:asciiTheme="minorEastAsia" w:hAnsiTheme="minorEastAsia" w:eastAsiaTheme="minorEastAsia"/>
          <w:sz w:val="20"/>
          <w:szCs w:val="20"/>
          <w:shd w:val="clear" w:color="auto" w:fill="FFFFFF"/>
          <w:lang w:val="en-US" w:eastAsia="zh-CN"/>
        </w:rPr>
        <w:t>1</w:t>
      </w:r>
      <w:r>
        <w:rPr>
          <w:rFonts w:hint="eastAsia" w:cs="楷体" w:asciiTheme="minorEastAsia" w:hAnsiTheme="minorEastAsia" w:eastAsiaTheme="minorEastAsia"/>
          <w:sz w:val="20"/>
          <w:szCs w:val="20"/>
          <w:shd w:val="clear" w:color="auto" w:fill="FFFFFF"/>
        </w:rPr>
        <w:t>年度本部门无政府性基金收支，</w:t>
      </w:r>
      <w:r>
        <w:rPr>
          <w:rFonts w:hint="eastAsia" w:cs="楷体" w:asciiTheme="minorEastAsia" w:hAnsiTheme="minorEastAsia" w:eastAsiaTheme="minorEastAsia"/>
          <w:sz w:val="20"/>
          <w:szCs w:val="20"/>
          <w:shd w:val="clear" w:color="auto" w:fill="FFFFFF"/>
          <w:lang w:eastAsia="zh-CN"/>
        </w:rPr>
        <w:t>也没有使用政府性基金安排的支出，</w:t>
      </w:r>
      <w:r>
        <w:rPr>
          <w:rFonts w:hint="eastAsia" w:cs="楷体" w:asciiTheme="minorEastAsia" w:hAnsiTheme="minorEastAsia" w:eastAsiaTheme="minorEastAsia"/>
          <w:sz w:val="20"/>
          <w:szCs w:val="20"/>
          <w:shd w:val="clear" w:color="auto" w:fill="FFFFFF"/>
        </w:rPr>
        <w:t>因此本表无数据。</w:t>
      </w:r>
    </w:p>
    <w:p>
      <w:pPr>
        <w:pStyle w:val="5"/>
        <w:spacing w:before="0" w:beforeAutospacing="0"/>
        <w:ind w:firstLine="481" w:firstLineChars="150"/>
        <w:outlineLvl w:val="1"/>
        <w:rPr>
          <w:rStyle w:val="8"/>
          <w:rFonts w:ascii="楷体_GB2312" w:eastAsia="楷体_GB2312"/>
          <w:sz w:val="32"/>
          <w:szCs w:val="32"/>
        </w:rPr>
      </w:pPr>
    </w:p>
    <w:p>
      <w:pPr>
        <w:pStyle w:val="5"/>
        <w:spacing w:before="0" w:beforeAutospacing="0"/>
        <w:ind w:firstLine="481" w:firstLineChars="150"/>
        <w:outlineLvl w:val="1"/>
        <w:rPr>
          <w:rStyle w:val="8"/>
          <w:rFonts w:ascii="楷体_GB2312" w:eastAsia="楷体_GB2312"/>
          <w:sz w:val="32"/>
          <w:szCs w:val="32"/>
        </w:rPr>
      </w:pPr>
    </w:p>
    <w:p>
      <w:pPr>
        <w:pStyle w:val="5"/>
        <w:spacing w:before="0" w:beforeAutospacing="0"/>
        <w:ind w:firstLine="481" w:firstLineChars="150"/>
        <w:outlineLvl w:val="1"/>
        <w:rPr>
          <w:rStyle w:val="8"/>
          <w:rFonts w:ascii="楷体_GB2312" w:eastAsia="楷体_GB2312"/>
          <w:sz w:val="32"/>
          <w:szCs w:val="32"/>
        </w:rPr>
      </w:pPr>
    </w:p>
    <w:p>
      <w:pPr>
        <w:pStyle w:val="5"/>
        <w:spacing w:before="0" w:beforeAutospacing="0"/>
        <w:ind w:firstLine="481" w:firstLineChars="150"/>
        <w:outlineLvl w:val="1"/>
        <w:rPr>
          <w:rStyle w:val="8"/>
          <w:rFonts w:ascii="楷体_GB2312" w:eastAsia="楷体_GB2312"/>
          <w:sz w:val="32"/>
          <w:szCs w:val="32"/>
        </w:rPr>
      </w:pPr>
    </w:p>
    <w:p>
      <w:pPr>
        <w:pStyle w:val="5"/>
        <w:spacing w:before="0" w:beforeAutospacing="0"/>
        <w:ind w:firstLine="481" w:firstLineChars="150"/>
        <w:outlineLvl w:val="1"/>
        <w:rPr>
          <w:rStyle w:val="8"/>
          <w:rFonts w:ascii="楷体_GB2312" w:eastAsia="楷体_GB2312"/>
          <w:sz w:val="32"/>
          <w:szCs w:val="32"/>
        </w:rPr>
      </w:pPr>
    </w:p>
    <w:p>
      <w:pPr>
        <w:pStyle w:val="5"/>
        <w:spacing w:before="0" w:beforeAutospacing="0"/>
        <w:ind w:firstLine="480" w:firstLineChars="150"/>
        <w:outlineLvl w:val="1"/>
        <w:rPr>
          <w:rStyle w:val="8"/>
          <w:rFonts w:ascii="楷体_GB2312" w:eastAsia="楷体_GB2312"/>
          <w:b w:val="0"/>
          <w:sz w:val="32"/>
          <w:szCs w:val="32"/>
        </w:rPr>
      </w:pPr>
      <w:r>
        <w:rPr>
          <w:rStyle w:val="8"/>
          <w:rFonts w:hint="eastAsia" w:ascii="楷体_GB2312" w:eastAsia="楷体_GB2312"/>
          <w:b w:val="0"/>
          <w:sz w:val="32"/>
          <w:szCs w:val="32"/>
        </w:rPr>
        <w:t>九、国有资本经营预算财政拨款支出决算表</w:t>
      </w:r>
    </w:p>
    <w:tbl>
      <w:tblPr>
        <w:tblStyle w:val="6"/>
        <w:tblW w:w="0" w:type="auto"/>
        <w:tblInd w:w="93" w:type="dxa"/>
        <w:tblLayout w:type="autofit"/>
        <w:tblCellMar>
          <w:top w:w="0" w:type="dxa"/>
          <w:left w:w="108" w:type="dxa"/>
          <w:bottom w:w="0" w:type="dxa"/>
          <w:right w:w="108" w:type="dxa"/>
        </w:tblCellMar>
      </w:tblPr>
      <w:tblGrid>
        <w:gridCol w:w="698"/>
        <w:gridCol w:w="698"/>
        <w:gridCol w:w="698"/>
        <w:gridCol w:w="1202"/>
        <w:gridCol w:w="1616"/>
        <w:gridCol w:w="1016"/>
        <w:gridCol w:w="1016"/>
        <w:gridCol w:w="616"/>
        <w:gridCol w:w="616"/>
        <w:gridCol w:w="1756"/>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部门：邵阳市双清区人民检察院</w:t>
            </w:r>
          </w:p>
        </w:tc>
        <w:tc>
          <w:tcPr>
            <w:tcW w:w="0" w:type="auto"/>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0" w:type="auto"/>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结余</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600"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0" w:type="auto"/>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0" w:type="auto"/>
            <w:tcBorders>
              <w:top w:val="nil"/>
              <w:left w:val="nil"/>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5"/>
        <w:spacing w:before="0" w:beforeAutospacing="0"/>
        <w:outlineLvl w:val="1"/>
        <w:rPr>
          <w:rFonts w:cs="楷体" w:asciiTheme="minorEastAsia" w:hAnsiTheme="minorEastAsia" w:eastAsiaTheme="minorEastAsia"/>
          <w:sz w:val="20"/>
          <w:szCs w:val="20"/>
          <w:shd w:val="clear" w:color="auto" w:fill="FFFFFF"/>
        </w:rPr>
      </w:pPr>
      <w:r>
        <w:rPr>
          <w:rFonts w:hint="eastAsia" w:cs="Arial"/>
          <w:sz w:val="20"/>
          <w:szCs w:val="20"/>
        </w:rPr>
        <w:t>注：本表反映部门本年度国有资本经营预算财政拨款支出情况。</w:t>
      </w:r>
      <w:r>
        <w:rPr>
          <w:rFonts w:hint="eastAsia" w:cs="楷体" w:asciiTheme="minorEastAsia" w:hAnsiTheme="minorEastAsia" w:eastAsiaTheme="minorEastAsia"/>
          <w:sz w:val="20"/>
          <w:szCs w:val="20"/>
          <w:shd w:val="clear" w:color="auto" w:fill="FFFFFF"/>
        </w:rPr>
        <w:t>202</w:t>
      </w:r>
      <w:r>
        <w:rPr>
          <w:rFonts w:hint="eastAsia" w:cs="楷体" w:asciiTheme="minorEastAsia" w:hAnsiTheme="minorEastAsia" w:eastAsiaTheme="minorEastAsia"/>
          <w:sz w:val="20"/>
          <w:szCs w:val="20"/>
          <w:shd w:val="clear" w:color="auto" w:fill="FFFFFF"/>
          <w:lang w:val="en-US" w:eastAsia="zh-CN"/>
        </w:rPr>
        <w:t>1</w:t>
      </w:r>
      <w:r>
        <w:rPr>
          <w:rFonts w:hint="eastAsia" w:cs="楷体" w:asciiTheme="minorEastAsia" w:hAnsiTheme="minorEastAsia" w:eastAsiaTheme="minorEastAsia"/>
          <w:sz w:val="20"/>
          <w:szCs w:val="20"/>
          <w:shd w:val="clear" w:color="auto" w:fill="FFFFFF"/>
        </w:rPr>
        <w:t>年度本部门无国有资本经营预算收支，因此本表无数据。</w:t>
      </w:r>
    </w:p>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5"/>
        <w:spacing w:before="0" w:beforeAutospacing="0"/>
        <w:jc w:val="center"/>
        <w:outlineLvl w:val="0"/>
        <w:rPr>
          <w:rFonts w:cs="宋体"/>
          <w:sz w:val="44"/>
          <w:szCs w:val="44"/>
        </w:rPr>
      </w:pPr>
      <w:bookmarkStart w:id="8" w:name="_Toc1903"/>
      <w:r>
        <w:rPr>
          <w:rStyle w:val="8"/>
          <w:rFonts w:hint="eastAsia" w:ascii="黑体" w:hAnsi="黑体" w:eastAsia="黑体" w:cs="黑体"/>
          <w:sz w:val="44"/>
          <w:szCs w:val="44"/>
          <w:shd w:val="clear" w:color="auto" w:fill="FFFFFF"/>
        </w:rPr>
        <w:t>第三部分 2021年度部门决算情况说明</w:t>
      </w:r>
      <w:bookmarkEnd w:id="8"/>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cs="宋体" w:asciiTheme="minorEastAsia" w:hAnsiTheme="minorEastAsia" w:eastAsiaTheme="minorEastAsia"/>
          <w:sz w:val="32"/>
          <w:szCs w:val="32"/>
        </w:rPr>
      </w:pPr>
      <w:r>
        <w:rPr>
          <w:rFonts w:hint="eastAsia" w:asciiTheme="minorEastAsia" w:hAnsiTheme="minorEastAsia" w:eastAsiaTheme="minorEastAsia"/>
          <w:sz w:val="32"/>
          <w:szCs w:val="32"/>
        </w:rPr>
        <w:t>2021年度收、支总计1715.49万元。与上年相比，减少126.06万元，</w:t>
      </w:r>
      <w:r>
        <w:rPr>
          <w:rFonts w:hint="eastAsia" w:asciiTheme="minorEastAsia" w:hAnsiTheme="minorEastAsia" w:eastAsiaTheme="minorEastAsia"/>
          <w:color w:val="auto"/>
          <w:sz w:val="32"/>
          <w:szCs w:val="32"/>
        </w:rPr>
        <w:t>减少</w:t>
      </w:r>
      <w:r>
        <w:rPr>
          <w:rFonts w:hint="eastAsia" w:asciiTheme="minorEastAsia" w:hAnsiTheme="minorEastAsia" w:eastAsiaTheme="minorEastAsia"/>
          <w:sz w:val="32"/>
          <w:szCs w:val="32"/>
        </w:rPr>
        <w:t>6.85%，主要是因为</w:t>
      </w:r>
      <w:r>
        <w:rPr>
          <w:rFonts w:hint="eastAsia" w:cs="宋体" w:asciiTheme="minorEastAsia" w:hAnsiTheme="minorEastAsia" w:eastAsiaTheme="minorEastAsia"/>
          <w:sz w:val="32"/>
          <w:szCs w:val="32"/>
        </w:rPr>
        <w:t>为落实中央和省委省政府过“紧”日子的政策要求，减少项目支出。</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本年收入合计1404.30万元，其中：财政拨款收入1265.34万元，占比90.10%；其他收入138.96万元，占比9.89%。</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本年支出合计1560.05万元，其中：基本支出1307.90万元，占比83.84%；项目支出252.16万元，占比16.16%。</w:t>
      </w:r>
      <w:r>
        <w:rPr>
          <w:rFonts w:asciiTheme="minorEastAsia" w:hAnsiTheme="minorEastAsia" w:eastAsiaTheme="minorEastAsia"/>
          <w:sz w:val="32"/>
          <w:szCs w:val="32"/>
        </w:rPr>
        <w:t xml:space="preserve"> </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2021年度财政拨款收入、支出总计1576.53万元，与上年相比，增加10.87万元,增幅0.68%，主要是因为公用经费有所增加。</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2021年度财政拨款支出1421.10万元，占本年支出合计的91.09%，与上年相比，财政拨款支出增加226.71万元，增长15.95%，主要原因是上一年度开展的项目，项目经费在本年度支出。</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2021年度财政拨款支出1421.10万元，主要用于以下方面：一般公共服务支出26.25万元，占1.85%；公共安全支出1207.20万元，占84.9</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%；教育支出1.62万元，占0.11%;社会保障和就业支出67.71万元，占4.76%；卫生健康支出46.82万元，占3.29%；住房保障支出71.50万元，占5.03%。</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1483.18</w:t>
      </w:r>
      <w:r>
        <w:rPr>
          <w:rFonts w:hint="eastAsia" w:asciiTheme="minorEastAsia" w:hAnsiTheme="minorEastAsia" w:eastAsiaTheme="minorEastAsia"/>
          <w:sz w:val="32"/>
          <w:szCs w:val="32"/>
        </w:rPr>
        <w:t>万元，支出决算数为1421.10万元，完成年初预算的</w:t>
      </w:r>
      <w:r>
        <w:rPr>
          <w:rFonts w:hint="eastAsia" w:asciiTheme="minorEastAsia" w:hAnsiTheme="minorEastAsia" w:eastAsiaTheme="minorEastAsia"/>
          <w:sz w:val="32"/>
          <w:szCs w:val="32"/>
          <w:lang w:val="en-US" w:eastAsia="zh-CN"/>
        </w:rPr>
        <w:t>95.81</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1、一般公共服务支出-其他一般公共服务支出-国家赔偿费用支出年初预算为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万元，支出决算为26.25万元，决算数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年中追加及指标调剂下达至此科目。</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2、公共安全-检察-行政运行年初预算为</w:t>
      </w:r>
      <w:r>
        <w:rPr>
          <w:rFonts w:hint="eastAsia" w:asciiTheme="minorEastAsia" w:hAnsiTheme="minorEastAsia" w:eastAsiaTheme="minorEastAsia"/>
          <w:sz w:val="32"/>
          <w:szCs w:val="32"/>
          <w:lang w:val="en-US" w:eastAsia="zh-CN"/>
        </w:rPr>
        <w:t>895.99</w:t>
      </w:r>
      <w:r>
        <w:rPr>
          <w:rFonts w:hint="eastAsia" w:asciiTheme="minorEastAsia" w:hAnsiTheme="minorEastAsia" w:eastAsiaTheme="minorEastAsia"/>
          <w:sz w:val="32"/>
          <w:szCs w:val="32"/>
        </w:rPr>
        <w:t>万元，支出决算为969.29万元，完成年初预算的</w:t>
      </w:r>
      <w:r>
        <w:rPr>
          <w:rFonts w:hint="eastAsia" w:asciiTheme="minorEastAsia" w:hAnsiTheme="minorEastAsia" w:eastAsiaTheme="minorEastAsia"/>
          <w:sz w:val="32"/>
          <w:szCs w:val="32"/>
          <w:lang w:val="en-US" w:eastAsia="zh-CN"/>
        </w:rPr>
        <w:t>108.18</w:t>
      </w:r>
      <w:r>
        <w:rPr>
          <w:rFonts w:hint="eastAsia" w:asciiTheme="minorEastAsia" w:hAnsiTheme="minorEastAsia" w:eastAsiaTheme="minorEastAsia"/>
          <w:sz w:val="32"/>
          <w:szCs w:val="32"/>
        </w:rPr>
        <w:t>%，决算数大于年初预算数的主要原因是：</w:t>
      </w:r>
      <w:r>
        <w:rPr>
          <w:rFonts w:hint="eastAsia" w:cs="宋体" w:asciiTheme="minorEastAsia" w:hAnsiTheme="minorEastAsia" w:eastAsiaTheme="minorEastAsia"/>
          <w:sz w:val="32"/>
          <w:szCs w:val="32"/>
        </w:rPr>
        <w:t>因办公办案工作需要年中追加劳务费等经费。</w:t>
      </w:r>
      <w:r>
        <w:rPr>
          <w:rFonts w:asciiTheme="minorEastAsia" w:hAnsiTheme="minorEastAsia" w:eastAsiaTheme="minorEastAsia"/>
          <w:sz w:val="32"/>
          <w:szCs w:val="32"/>
        </w:rPr>
        <w:t xml:space="preserve"> </w:t>
      </w:r>
    </w:p>
    <w:p>
      <w:pPr>
        <w:pStyle w:val="5"/>
        <w:spacing w:before="0" w:beforeAutospacing="0" w:after="0" w:afterAutospacing="0" w:line="560" w:lineRule="exact"/>
        <w:ind w:firstLine="640" w:firstLineChars="200"/>
        <w:rPr>
          <w:rFonts w:hint="eastAsia" w:cs="宋体" w:asciiTheme="minorEastAsia" w:hAnsiTheme="minorEastAsia" w:eastAsiaTheme="minorEastAsia"/>
          <w:sz w:val="32"/>
          <w:szCs w:val="32"/>
          <w:lang w:eastAsia="zh-CN"/>
        </w:rPr>
      </w:pPr>
      <w:r>
        <w:rPr>
          <w:rFonts w:hint="eastAsia" w:asciiTheme="minorEastAsia" w:hAnsiTheme="minorEastAsia" w:eastAsiaTheme="minorEastAsia"/>
          <w:sz w:val="32"/>
          <w:szCs w:val="32"/>
        </w:rPr>
        <w:t>3、公共安全支出-检察-一般行政管理事务年初预算数为</w:t>
      </w:r>
      <w:r>
        <w:rPr>
          <w:rFonts w:hint="eastAsia" w:asciiTheme="minorEastAsia" w:hAnsiTheme="minorEastAsia" w:eastAsiaTheme="minorEastAsia"/>
          <w:sz w:val="32"/>
          <w:szCs w:val="32"/>
          <w:lang w:val="en-US" w:eastAsia="zh-CN"/>
        </w:rPr>
        <w:t>366.02</w:t>
      </w:r>
      <w:r>
        <w:rPr>
          <w:rFonts w:hint="eastAsia" w:asciiTheme="minorEastAsia" w:hAnsiTheme="minorEastAsia" w:eastAsiaTheme="minorEastAsia"/>
          <w:sz w:val="32"/>
          <w:szCs w:val="32"/>
        </w:rPr>
        <w:t>万元，支出决算数为225.90万元，完成年初预算的</w:t>
      </w:r>
      <w:r>
        <w:rPr>
          <w:rFonts w:hint="eastAsia" w:asciiTheme="minorEastAsia" w:hAnsiTheme="minorEastAsia" w:eastAsiaTheme="minorEastAsia"/>
          <w:sz w:val="32"/>
          <w:szCs w:val="32"/>
          <w:lang w:val="en-US" w:eastAsia="zh-CN"/>
        </w:rPr>
        <w:t>61.72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cs="宋体" w:asciiTheme="minorEastAsia" w:hAnsiTheme="minorEastAsia" w:eastAsiaTheme="minorEastAsia"/>
          <w:sz w:val="32"/>
          <w:szCs w:val="32"/>
          <w:lang w:eastAsia="zh-CN"/>
        </w:rPr>
        <w:t>部分项目经费根据合同进度结转到下一年度付款。</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4、</w:t>
      </w:r>
      <w:r>
        <w:rPr>
          <w:rFonts w:hint="eastAsia" w:asciiTheme="minorEastAsia" w:hAnsiTheme="minorEastAsia" w:eastAsiaTheme="minorEastAsia"/>
          <w:sz w:val="32"/>
          <w:szCs w:val="32"/>
        </w:rPr>
        <w:t>公共安全支出-检察-检察监督年初预算为12万元，支出决算数为17万元，完成年初预算的141.67%，决算数大于年初预算数的主要原因是：</w:t>
      </w:r>
      <w:r>
        <w:rPr>
          <w:rFonts w:hint="eastAsia" w:cs="宋体" w:asciiTheme="minorEastAsia" w:hAnsiTheme="minorEastAsia" w:eastAsiaTheme="minorEastAsia"/>
          <w:sz w:val="32"/>
          <w:szCs w:val="32"/>
        </w:rPr>
        <w:t>检察监督办案工作不可预计性较大。</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5、教育支出-进修及培训-培训支出年初预算为15万元，支出决算数为1.62万元，完成年初预算数的10.8%，决算数小于年初预算数的主要原因是：因疫情原因，减少了本年度的培训计划。</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6、社会保障和就业支出-行政事业单位养老支出-机关事业单位基本养老保险缴费支出年初预算数为63.67万元，支出决算数为63.67万元，完成年初预算数的100%。</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 7、社会保障和就业支出-其他社会保障和就业支出-其他社会保障和就业支出年初预算数为</w:t>
      </w:r>
      <w:r>
        <w:rPr>
          <w:rFonts w:hint="eastAsia" w:cs="宋体" w:asciiTheme="minorEastAsia" w:hAnsiTheme="minorEastAsia" w:eastAsiaTheme="minorEastAsia"/>
          <w:sz w:val="32"/>
          <w:szCs w:val="32"/>
          <w:lang w:val="en-US" w:eastAsia="zh-CN"/>
        </w:rPr>
        <w:t>11</w:t>
      </w:r>
      <w:r>
        <w:rPr>
          <w:rFonts w:hint="eastAsia" w:cs="宋体" w:asciiTheme="minorEastAsia" w:hAnsiTheme="minorEastAsia" w:eastAsiaTheme="minorEastAsia"/>
          <w:sz w:val="32"/>
          <w:szCs w:val="32"/>
        </w:rPr>
        <w:t>万元，支出决算数为4.04万元，完成年初预算数的</w:t>
      </w:r>
      <w:r>
        <w:rPr>
          <w:rFonts w:hint="eastAsia" w:cs="宋体" w:asciiTheme="minorEastAsia" w:hAnsiTheme="minorEastAsia" w:eastAsiaTheme="minorEastAsia"/>
          <w:sz w:val="32"/>
          <w:szCs w:val="32"/>
          <w:lang w:val="en-US" w:eastAsia="zh-CN"/>
        </w:rPr>
        <w:t>36.73</w:t>
      </w:r>
      <w:r>
        <w:rPr>
          <w:rFonts w:hint="eastAsia" w:cs="宋体" w:asciiTheme="minorEastAsia" w:hAnsiTheme="minorEastAsia" w:eastAsiaTheme="minorEastAsia"/>
          <w:sz w:val="32"/>
          <w:szCs w:val="32"/>
        </w:rPr>
        <w:t>%，决算数小于年初预算数的主要原因是：</w:t>
      </w:r>
      <w:r>
        <w:rPr>
          <w:rFonts w:hint="eastAsia" w:cs="宋体" w:asciiTheme="minorEastAsia" w:hAnsiTheme="minorEastAsia" w:eastAsiaTheme="minorEastAsia"/>
          <w:sz w:val="32"/>
          <w:szCs w:val="32"/>
          <w:lang w:eastAsia="zh-CN"/>
        </w:rPr>
        <w:t>一是</w:t>
      </w:r>
      <w:r>
        <w:rPr>
          <w:rFonts w:hint="eastAsia" w:asciiTheme="minorEastAsia" w:hAnsiTheme="minorEastAsia" w:eastAsiaTheme="minorEastAsia"/>
          <w:sz w:val="32"/>
          <w:szCs w:val="32"/>
        </w:rPr>
        <w:t>正常在职人员减少导致年中实际开支减少</w:t>
      </w:r>
      <w:r>
        <w:rPr>
          <w:rFonts w:hint="eastAsia" w:asciiTheme="minorEastAsia" w:hAnsiTheme="minorEastAsia" w:eastAsiaTheme="minorEastAsia"/>
          <w:sz w:val="32"/>
          <w:szCs w:val="32"/>
          <w:lang w:eastAsia="zh-CN"/>
        </w:rPr>
        <w:t>，二是其他社会保障缴费中工伤保险、失业保险、公务员医疗补助标准降低，导致年中实际开支减少</w:t>
      </w:r>
      <w:r>
        <w:rPr>
          <w:rFonts w:hint="eastAsia" w:asciiTheme="minorEastAsia" w:hAnsiTheme="minorEastAsia" w:eastAsiaTheme="minorEastAsia"/>
          <w:sz w:val="32"/>
          <w:szCs w:val="32"/>
        </w:rPr>
        <w:t>。</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8、卫生健康支出-行政事业单位医疗-行政单位医疗年初预算为34万元，支出决算数为34万元，完成年初预算数的100%。</w:t>
      </w:r>
    </w:p>
    <w:p>
      <w:pPr>
        <w:pStyle w:val="5"/>
        <w:spacing w:before="0" w:beforeAutospacing="0" w:after="0" w:afterAutospacing="0" w:line="56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rPr>
        <w:t>9、卫生健康支出-行政事业单位医疗-公务员医疗补助年初预算数为14万元，支出决算数为12.82万元，完成年初预算数的91.57%，决算数小于年初预算数的主要原因是：</w:t>
      </w:r>
      <w:r>
        <w:rPr>
          <w:rFonts w:hint="eastAsia" w:asciiTheme="minorEastAsia" w:hAnsiTheme="minorEastAsia" w:eastAsiaTheme="minorEastAsia"/>
          <w:sz w:val="32"/>
          <w:szCs w:val="32"/>
        </w:rPr>
        <w:t>正常在职人员减少导致年中实际开支减少。</w:t>
      </w:r>
      <w:r>
        <w:rPr>
          <w:rFonts w:asciiTheme="minorEastAsia" w:hAnsiTheme="minorEastAsia" w:eastAsiaTheme="minorEastAsia"/>
          <w:sz w:val="32"/>
          <w:szCs w:val="32"/>
        </w:rPr>
        <w:t xml:space="preserve"> </w:t>
      </w:r>
    </w:p>
    <w:p>
      <w:pPr>
        <w:pStyle w:val="5"/>
        <w:spacing w:before="0" w:beforeAutospacing="0" w:after="0" w:afterAutospacing="0" w:line="56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10、住房保障支出-住房改革支出-住房公积金年初预算为71.5万元，支出决算数为71.5万元，完成年初预算数的100%。</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仿宋_GB2312" w:eastAsia="仿宋_GB2312"/>
          <w:sz w:val="32"/>
        </w:rPr>
      </w:pPr>
      <w:r>
        <w:rPr>
          <w:rFonts w:hint="eastAsia" w:asciiTheme="minorEastAsia" w:hAnsiTheme="minorEastAsia" w:eastAsiaTheme="minorEastAsia"/>
          <w:sz w:val="32"/>
          <w:szCs w:val="32"/>
        </w:rPr>
        <w:t>2021年度财政拨款基本支出1168.94万元，其中：人员经费757.11万元，占基本支出的64.77%,主要包括</w:t>
      </w:r>
      <w:r>
        <w:rPr>
          <w:rFonts w:hint="eastAsia" w:asciiTheme="minorEastAsia" w:hAnsiTheme="minorEastAsia" w:eastAsiaTheme="minorEastAsia"/>
          <w:sz w:val="32"/>
        </w:rPr>
        <w:t>基本工资、津贴补贴、奖金、机关事业单位基本养老保险缴费、职工基本医疗保险缴费、公务员医疗补助缴费、其他社会保障缴费、住房公积金、其他工资福利支出、抚恤金、奖励金、其他对个人和家庭的补助支出</w:t>
      </w:r>
      <w:r>
        <w:rPr>
          <w:rFonts w:hint="eastAsia" w:cs="宋体" w:asciiTheme="minorEastAsia" w:hAnsiTheme="minorEastAsia" w:eastAsiaTheme="minorEastAsia"/>
          <w:sz w:val="32"/>
          <w:szCs w:val="32"/>
        </w:rPr>
        <w:t>；</w:t>
      </w:r>
      <w:r>
        <w:rPr>
          <w:rFonts w:hint="eastAsia" w:asciiTheme="minorEastAsia" w:hAnsiTheme="minorEastAsia" w:eastAsiaTheme="minorEastAsia"/>
          <w:sz w:val="32"/>
          <w:szCs w:val="32"/>
        </w:rPr>
        <w:t>公用经费411.83万元，占基本支出的35.23%，主要包括</w:t>
      </w:r>
      <w:r>
        <w:rPr>
          <w:rFonts w:hint="eastAsia" w:asciiTheme="minorEastAsia" w:hAnsiTheme="minorEastAsia" w:eastAsiaTheme="minorEastAsia"/>
          <w:sz w:val="32"/>
        </w:rPr>
        <w:t>办公费、水费、电费、邮电费、物业管理费、差旅费、维修（护）费、租赁费、培训费、公务接待费、劳务费、工会经费、福利费、公务用车运行维护费、其他交通费用、其他商品和服务支出。</w:t>
      </w:r>
    </w:p>
    <w:p>
      <w:pPr>
        <w:pStyle w:val="11"/>
        <w:ind w:firstLine="800" w:firstLineChars="25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“三公”经费财政拨款支出预算为33万元，支出决算为32.69万元，完成预算的99.06%，其中：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因公出国（境）费支出预算为0元，支出决算为0万元；与上年相比不变。</w:t>
      </w:r>
    </w:p>
    <w:p>
      <w:pPr>
        <w:pStyle w:val="11"/>
        <w:ind w:firstLine="800" w:firstLineChars="250"/>
        <w:rPr>
          <w:rFonts w:asciiTheme="minorEastAsia" w:hAnsiTheme="minorEastAsia" w:eastAsiaTheme="minorEastAsia"/>
          <w:sz w:val="32"/>
        </w:rPr>
      </w:pPr>
      <w:r>
        <w:rPr>
          <w:rFonts w:hint="eastAsia" w:asciiTheme="minorEastAsia" w:hAnsiTheme="minorEastAsia" w:eastAsiaTheme="minorEastAsia"/>
          <w:sz w:val="32"/>
          <w:szCs w:val="32"/>
        </w:rPr>
        <w:t>公务接待费支出预算为1.7万元，支出决算为1.65万元，完成预算的97.06%，决算数小于预算数的主要原因是</w:t>
      </w:r>
      <w:r>
        <w:rPr>
          <w:rFonts w:hint="eastAsia" w:asciiTheme="minorEastAsia" w:hAnsiTheme="minorEastAsia" w:eastAsiaTheme="minorEastAsia"/>
          <w:sz w:val="32"/>
        </w:rPr>
        <w:t>进一步从严控制公务接待经费开支</w:t>
      </w:r>
      <w:r>
        <w:rPr>
          <w:rFonts w:hint="eastAsia" w:asciiTheme="minorEastAsia" w:hAnsiTheme="minorEastAsia" w:eastAsiaTheme="minorEastAsia"/>
          <w:sz w:val="32"/>
          <w:szCs w:val="32"/>
        </w:rPr>
        <w:t>，与上年相比减少0.15万元，减少8.33%,减少的主要原因是</w:t>
      </w:r>
      <w:r>
        <w:rPr>
          <w:rFonts w:hint="eastAsia" w:asciiTheme="minorEastAsia" w:hAnsiTheme="minorEastAsia" w:eastAsiaTheme="minorEastAsia"/>
          <w:sz w:val="32"/>
        </w:rPr>
        <w:t>进一步从严控制公务接待经费开支，三公经费逐年递减。</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25万元，支出决算为24.8万元，完成预算的99.2%，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进一步控制“三公”经费，</w:t>
      </w:r>
      <w:r>
        <w:rPr>
          <w:rFonts w:hint="eastAsia" w:asciiTheme="minorEastAsia" w:hAnsiTheme="minorEastAsia" w:eastAsiaTheme="minorEastAsia"/>
          <w:sz w:val="32"/>
          <w:lang w:eastAsia="zh-CN"/>
        </w:rPr>
        <w:t>与上年相比增长</w:t>
      </w:r>
      <w:r>
        <w:rPr>
          <w:rFonts w:hint="eastAsia" w:asciiTheme="minorEastAsia" w:hAnsiTheme="minorEastAsia" w:eastAsiaTheme="minorEastAsia"/>
          <w:sz w:val="32"/>
          <w:lang w:val="en-US" w:eastAsia="zh-CN"/>
        </w:rPr>
        <w:t>24.8万元，增长的主要原因是我院2021年度新购了一台公车。</w:t>
      </w:r>
    </w:p>
    <w:p>
      <w:pPr>
        <w:pStyle w:val="11"/>
        <w:ind w:firstLine="480" w:firstLineChars="150"/>
        <w:rPr>
          <w:rFonts w:hint="default" w:asciiTheme="minorEastAsia" w:hAnsiTheme="minorEastAsia" w:eastAsiaTheme="minorEastAsia"/>
          <w:sz w:val="32"/>
          <w:lang w:val="en-US" w:eastAsia="zh-CN"/>
        </w:rPr>
      </w:pPr>
      <w:r>
        <w:rPr>
          <w:rFonts w:hint="eastAsia" w:asciiTheme="minorEastAsia" w:hAnsiTheme="minorEastAsia" w:eastAsiaTheme="minorEastAsia"/>
          <w:sz w:val="32"/>
          <w:szCs w:val="32"/>
          <w:lang w:eastAsia="zh-CN"/>
        </w:rPr>
        <w:t>公务用车运行维护费支出预算为</w:t>
      </w:r>
      <w:r>
        <w:rPr>
          <w:rFonts w:hint="eastAsia" w:asciiTheme="minorEastAsia" w:hAnsiTheme="minorEastAsia" w:eastAsiaTheme="minorEastAsia"/>
          <w:sz w:val="32"/>
          <w:szCs w:val="32"/>
          <w:lang w:val="en-US" w:eastAsia="zh-CN"/>
        </w:rPr>
        <w:t>6.3万元，支出决算为6.24万元，完成预算的99.04%，决算数小于预算数的原因是进一步控制“三公”经费，与上年相比减少12.86万元，减少67.33%，减少的主要原因是</w:t>
      </w:r>
      <w:r>
        <w:rPr>
          <w:rFonts w:hint="eastAsia" w:asciiTheme="minorEastAsia" w:hAnsiTheme="minorEastAsia" w:eastAsiaTheme="minorEastAsia"/>
          <w:sz w:val="32"/>
          <w:lang w:val="en-US" w:eastAsia="zh-CN"/>
        </w:rPr>
        <w:t>进一步从严控制公务用车运行维护费，三公经费逐年递减。</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w:t>
      </w:r>
      <w:bookmarkStart w:id="9" w:name="_GoBack"/>
      <w:bookmarkEnd w:id="9"/>
      <w:r>
        <w:rPr>
          <w:rFonts w:hint="eastAsia" w:asciiTheme="minorEastAsia" w:hAnsiTheme="minorEastAsia" w:eastAsiaTheme="minorEastAsia"/>
          <w:sz w:val="32"/>
          <w:szCs w:val="32"/>
        </w:rPr>
        <w:t>接待费支出决算1.65万元，占5.04%,因公出国（境）费支出决算0万元，占0%,公务用车购置费及运行维护费支出决算31.04万元，占94.96%。其中：</w:t>
      </w:r>
    </w:p>
    <w:p>
      <w:pPr>
        <w:pStyle w:val="5"/>
        <w:spacing w:before="0" w:beforeAutospacing="0" w:after="0" w:afterAutospacing="0" w:line="560" w:lineRule="exact"/>
        <w:ind w:firstLine="640" w:firstLineChars="200"/>
        <w:rPr>
          <w:rFonts w:ascii="仿宋_GB2312" w:eastAsia="仿宋_GB2312"/>
          <w:color w:val="FF0000"/>
          <w:sz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rPr>
        <w:t>因公出国（境）费支出预算为0万元，支出决算为0万元，主要原因是受新冠疫情影响，本年度未开展因公出国交流项目。</w:t>
      </w:r>
    </w:p>
    <w:p>
      <w:pPr>
        <w:pStyle w:val="11"/>
        <w:ind w:firstLine="640" w:firstLineChars="200"/>
        <w:rPr>
          <w:rFonts w:asciiTheme="minorEastAsia" w:hAnsiTheme="minorEastAsia" w:eastAsiaTheme="minorEastAsia"/>
          <w:sz w:val="32"/>
        </w:rPr>
      </w:pPr>
      <w:r>
        <w:rPr>
          <w:rFonts w:hint="eastAsia" w:asciiTheme="minorEastAsia" w:hAnsiTheme="minorEastAsia" w:eastAsiaTheme="minorEastAsia"/>
          <w:sz w:val="32"/>
          <w:szCs w:val="32"/>
        </w:rPr>
        <w:t>2、公务接待费支出决算为1.65万元，全年共接待来访团组20个、来宾118人次，主要是接待</w:t>
      </w:r>
      <w:r>
        <w:rPr>
          <w:rFonts w:hint="eastAsia" w:asciiTheme="minorEastAsia" w:hAnsiTheme="minorEastAsia" w:eastAsiaTheme="minorEastAsia"/>
          <w:sz w:val="32"/>
        </w:rPr>
        <w:t>各地检察机关和相关部门交流工作和协办案件等发生的接待支出。</w:t>
      </w:r>
    </w:p>
    <w:p>
      <w:pPr>
        <w:pStyle w:val="5"/>
        <w:spacing w:before="0" w:beforeAutospacing="0" w:after="0" w:afterAutospacing="0" w:line="560" w:lineRule="exact"/>
        <w:ind w:firstLine="640" w:firstLineChars="200"/>
        <w:rPr>
          <w:rFonts w:asciiTheme="minorEastAsia" w:hAnsiTheme="minorEastAsia" w:eastAsiaTheme="minorEastAsia"/>
          <w:sz w:val="32"/>
        </w:rPr>
      </w:pPr>
      <w:r>
        <w:rPr>
          <w:rFonts w:hint="eastAsia" w:asciiTheme="minorEastAsia" w:hAnsiTheme="minorEastAsia" w:eastAsiaTheme="minorEastAsia"/>
          <w:sz w:val="32"/>
          <w:szCs w:val="32"/>
        </w:rPr>
        <w:t>3、公务用车购置费及运行维护费支出决算为31.04万元，其中：公务用车购置费24.80万元，</w:t>
      </w:r>
      <w:r>
        <w:rPr>
          <w:rFonts w:hint="eastAsia" w:asciiTheme="minorEastAsia" w:hAnsiTheme="minorEastAsia" w:eastAsiaTheme="minorEastAsia"/>
          <w:sz w:val="32"/>
          <w:szCs w:val="32"/>
          <w:lang w:eastAsia="zh-CN"/>
        </w:rPr>
        <w:t>单位本级更新公务用车</w:t>
      </w:r>
      <w:r>
        <w:rPr>
          <w:rFonts w:hint="eastAsia" w:asciiTheme="minorEastAsia" w:hAnsiTheme="minorEastAsia" w:eastAsiaTheme="minorEastAsia"/>
          <w:sz w:val="32"/>
          <w:szCs w:val="32"/>
          <w:lang w:val="en-US" w:eastAsia="zh-CN"/>
        </w:rPr>
        <w:t>1辆。</w:t>
      </w:r>
      <w:r>
        <w:rPr>
          <w:rFonts w:hint="eastAsia" w:asciiTheme="minorEastAsia" w:hAnsiTheme="minorEastAsia" w:eastAsiaTheme="minorEastAsia"/>
          <w:sz w:val="32"/>
          <w:szCs w:val="32"/>
        </w:rPr>
        <w:t>公务用车运行维护费6.24万元，主要是</w:t>
      </w:r>
      <w:r>
        <w:rPr>
          <w:rFonts w:hint="eastAsia" w:asciiTheme="minorEastAsia" w:hAnsiTheme="minorEastAsia" w:eastAsiaTheme="minorEastAsia"/>
          <w:sz w:val="32"/>
        </w:rPr>
        <w:t>用于执法执勤公务车辆的燃料费、维修费、过路过桥费、年审费和保险费等支出，</w:t>
      </w:r>
      <w:r>
        <w:rPr>
          <w:rFonts w:asciiTheme="minorEastAsia" w:hAnsiTheme="minorEastAsia" w:eastAsiaTheme="minorEastAsia"/>
          <w:sz w:val="32"/>
        </w:rPr>
        <w:t xml:space="preserve"> </w:t>
      </w:r>
      <w:r>
        <w:rPr>
          <w:rFonts w:hint="eastAsia" w:asciiTheme="minorEastAsia" w:hAnsiTheme="minorEastAsia" w:eastAsiaTheme="minorEastAsia"/>
          <w:sz w:val="32"/>
          <w:szCs w:val="32"/>
        </w:rPr>
        <w:t>截止2021年12月31日，我单位开支财政拨款的公务用车保有量为4辆。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5"/>
        <w:spacing w:before="0" w:beforeAutospacing="0" w:after="0" w:afterAutospacing="0" w:line="560" w:lineRule="exact"/>
        <w:ind w:firstLine="640" w:firstLineChars="200"/>
        <w:rPr>
          <w:rFonts w:asciiTheme="minorEastAsia" w:hAnsiTheme="minorEastAsia" w:eastAsiaTheme="minorEastAsia"/>
          <w:sz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rPr>
        <w:t>20</w:t>
      </w:r>
      <w:r>
        <w:rPr>
          <w:rFonts w:hint="eastAsia" w:asciiTheme="minorEastAsia" w:hAnsiTheme="minorEastAsia" w:eastAsiaTheme="minorEastAsia"/>
          <w:sz w:val="32"/>
        </w:rPr>
        <w:t>21</w:t>
      </w:r>
      <w:r>
        <w:rPr>
          <w:rFonts w:asciiTheme="minorEastAsia" w:hAnsiTheme="minorEastAsia" w:eastAsiaTheme="minorEastAsia"/>
          <w:sz w:val="32"/>
        </w:rPr>
        <w:t>年度本单位无政府性基金收支</w:t>
      </w:r>
      <w:r>
        <w:rPr>
          <w:rFonts w:hint="eastAsia" w:asciiTheme="minorEastAsia" w:hAnsiTheme="minorEastAsia" w:eastAsiaTheme="minorEastAsia"/>
          <w:sz w:val="32"/>
        </w:rPr>
        <w:t>。</w:t>
      </w:r>
    </w:p>
    <w:p>
      <w:pPr>
        <w:pStyle w:val="11"/>
        <w:ind w:firstLine="640" w:firstLineChars="200"/>
        <w:rPr>
          <w:rFonts w:hAnsi="黑体"/>
          <w:b/>
          <w:sz w:val="32"/>
          <w:szCs w:val="32"/>
        </w:rPr>
      </w:pPr>
      <w:r>
        <w:rPr>
          <w:rFonts w:hint="eastAsia" w:hAnsi="黑体"/>
          <w:b/>
          <w:sz w:val="32"/>
          <w:szCs w:val="32"/>
        </w:rPr>
        <w:t>九、关于机关运行经费支出说明</w:t>
      </w:r>
    </w:p>
    <w:p>
      <w:pPr>
        <w:pStyle w:val="5"/>
        <w:spacing w:before="0" w:beforeAutospacing="0" w:after="0" w:afterAutospacing="0" w:line="560" w:lineRule="exact"/>
        <w:ind w:firstLine="640" w:firstLineChars="200"/>
        <w:rPr>
          <w:rFonts w:asciiTheme="minorEastAsia" w:hAnsiTheme="minorEastAsia" w:eastAsiaTheme="minorEastAsia"/>
          <w:color w:val="FF0000"/>
          <w:sz w:val="32"/>
        </w:rPr>
      </w:pPr>
      <w:r>
        <w:rPr>
          <w:rFonts w:hint="eastAsia" w:asciiTheme="minorEastAsia" w:hAnsiTheme="minorEastAsia" w:eastAsiaTheme="minorEastAsia"/>
          <w:sz w:val="32"/>
          <w:szCs w:val="32"/>
        </w:rPr>
        <w:t>本部门2021年度机关运行经费支出411.83万元，比上年决算数年增加31.24万元，增加7.59%。主要原因是：案件增多导致办公办案经费有所上升。</w:t>
      </w:r>
    </w:p>
    <w:p>
      <w:pPr>
        <w:pStyle w:val="11"/>
        <w:ind w:firstLine="640" w:firstLineChars="200"/>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会议费支出预算0.5万元，实际开支0万元；培训费开支预算15万元，实际开支1.62万元，用于参加上级院开展的干警素能及业务培训，人数7人，内容为网络安全培训、法警培训、检察业务培训；没有举办节庆、晚会、论坛、赛事活动。</w:t>
      </w:r>
      <w:r>
        <w:rPr>
          <w:rFonts w:asciiTheme="minorEastAsia" w:hAnsiTheme="minorEastAsia" w:eastAsiaTheme="minorEastAsia"/>
          <w:sz w:val="32"/>
          <w:szCs w:val="32"/>
        </w:rPr>
        <w:t xml:space="preserve"> </w:t>
      </w:r>
    </w:p>
    <w:p>
      <w:pPr>
        <w:pStyle w:val="11"/>
        <w:ind w:firstLine="480" w:firstLineChars="150"/>
        <w:rPr>
          <w:rFonts w:hAnsi="黑体"/>
          <w:b/>
          <w:sz w:val="32"/>
          <w:szCs w:val="32"/>
        </w:rPr>
      </w:pPr>
      <w:r>
        <w:rPr>
          <w:rFonts w:hint="eastAsia" w:hAnsi="黑体"/>
          <w:b/>
          <w:sz w:val="32"/>
          <w:szCs w:val="32"/>
        </w:rPr>
        <w:t>十一、关于政府采购支出说明</w:t>
      </w:r>
    </w:p>
    <w:p>
      <w:pPr>
        <w:pStyle w:val="5"/>
        <w:spacing w:before="0" w:beforeAutospacing="0" w:after="0" w:afterAutospacing="0" w:line="560" w:lineRule="exact"/>
        <w:ind w:firstLine="640" w:firstLineChars="200"/>
        <w:rPr>
          <w:rFonts w:asciiTheme="minorEastAsia" w:hAnsiTheme="minorEastAsia" w:eastAsiaTheme="minorEastAsia"/>
          <w:sz w:val="32"/>
        </w:rPr>
      </w:pPr>
      <w:r>
        <w:rPr>
          <w:rFonts w:hint="eastAsia" w:asciiTheme="minorEastAsia" w:hAnsiTheme="minorEastAsia" w:eastAsiaTheme="minorEastAsia"/>
          <w:sz w:val="32"/>
          <w:szCs w:val="32"/>
        </w:rPr>
        <w:t>本部门2021年度政府采购支出总额182.76万元，其中：政府采购货物支出182.76万元、政府采购工程支出0万元、政府采购服务支出0万元。授予中小企业合同金额</w:t>
      </w:r>
      <w:r>
        <w:rPr>
          <w:rFonts w:hint="eastAsia" w:asciiTheme="minorEastAsia" w:hAnsiTheme="minorEastAsia" w:eastAsiaTheme="minorEastAsia"/>
          <w:sz w:val="32"/>
          <w:szCs w:val="32"/>
          <w:lang w:val="en-US" w:eastAsia="zh-CN"/>
        </w:rPr>
        <w:t>182.76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eastAsia="zh-CN"/>
        </w:rPr>
        <w:t>，其中，授予小微企业合同金额</w:t>
      </w:r>
      <w:r>
        <w:rPr>
          <w:rFonts w:hint="eastAsia" w:asciiTheme="minorEastAsia" w:hAnsiTheme="minorEastAsia" w:eastAsiaTheme="minorEastAsia"/>
          <w:sz w:val="32"/>
          <w:szCs w:val="32"/>
          <w:lang w:val="en-US" w:eastAsia="zh-CN"/>
        </w:rPr>
        <w:t>182.76万元，占授予中小企业合同金额的100%；</w:t>
      </w:r>
      <w:r>
        <w:rPr>
          <w:rFonts w:hint="eastAsia"/>
          <w:sz w:val="32"/>
          <w:szCs w:val="32"/>
        </w:rPr>
        <w:t>货物采购授予中小企业合同金额占货物支出金额的</w:t>
      </w:r>
      <w:r>
        <w:rPr>
          <w:rFonts w:hint="eastAsia"/>
          <w:sz w:val="32"/>
          <w:szCs w:val="32"/>
          <w:lang w:val="en-US" w:eastAsia="zh-CN"/>
        </w:rPr>
        <w:t>100</w:t>
      </w:r>
      <w:r>
        <w:rPr>
          <w:rFonts w:hint="eastAsia"/>
          <w:sz w:val="32"/>
          <w:szCs w:val="32"/>
        </w:rPr>
        <w:t>%，工程采购授予中小企业合同金额占工程支出金额的</w:t>
      </w:r>
      <w:r>
        <w:rPr>
          <w:rFonts w:hint="eastAsia"/>
          <w:sz w:val="32"/>
          <w:szCs w:val="32"/>
          <w:lang w:val="en-US" w:eastAsia="zh-CN"/>
        </w:rPr>
        <w:t>0</w:t>
      </w:r>
      <w:r>
        <w:rPr>
          <w:rFonts w:hint="eastAsia"/>
          <w:sz w:val="32"/>
          <w:szCs w:val="32"/>
        </w:rPr>
        <w:t>%，服务采购授予中小企业合同金额占服务支出金额的</w:t>
      </w:r>
      <w:r>
        <w:rPr>
          <w:rFonts w:hint="eastAsia"/>
          <w:sz w:val="32"/>
          <w:szCs w:val="32"/>
          <w:lang w:val="en-US" w:eastAsia="zh-CN"/>
        </w:rPr>
        <w:t>0</w:t>
      </w:r>
      <w:r>
        <w:rPr>
          <w:rFonts w:hint="eastAsia"/>
          <w:sz w:val="32"/>
          <w:szCs w:val="32"/>
        </w:rPr>
        <w:t>%。</w:t>
      </w:r>
      <w:r>
        <w:rPr>
          <w:rFonts w:asciiTheme="minorEastAsia" w:hAnsiTheme="minorEastAsia" w:eastAsiaTheme="minorEastAsia"/>
          <w:sz w:val="32"/>
          <w:szCs w:val="32"/>
        </w:rPr>
        <w:t xml:space="preserve"> </w:t>
      </w:r>
      <w:r>
        <w:rPr>
          <w:rFonts w:hint="eastAsia" w:asciiTheme="minorEastAsia" w:hAnsiTheme="minorEastAsia" w:eastAsiaTheme="minorEastAsia"/>
          <w:sz w:val="32"/>
        </w:rPr>
        <w:t>（政府采购金额的计算口径为：本部门纳入2021年度部门预算范围的各项政府采购支出金额之和，不包括涉密采购项目的支出金额）</w:t>
      </w:r>
    </w:p>
    <w:p>
      <w:pPr>
        <w:pStyle w:val="11"/>
        <w:ind w:firstLine="640" w:firstLineChars="200"/>
        <w:rPr>
          <w:rFonts w:asciiTheme="minorEastAsia" w:hAnsiTheme="minorEastAsia" w:eastAsiaTheme="minorEastAsia"/>
          <w:sz w:val="32"/>
          <w:szCs w:val="32"/>
        </w:rPr>
      </w:pPr>
    </w:p>
    <w:p>
      <w:pPr>
        <w:pStyle w:val="11"/>
        <w:ind w:firstLine="480" w:firstLineChars="150"/>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4辆，其中，主要领导干部用车0辆，机要通信用车0辆、应急保障用车0辆、执法执勤用车4辆、特种专业技术用车0辆、其他用车0辆；单位价值50万元以上通用设备2台（套）；单位价值100万元以上专用设备0台（套）。</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十三、关于2021年度预算绩效情况的说明</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根据</w:t>
      </w:r>
      <w:r>
        <w:rPr>
          <w:rFonts w:hint="eastAsia" w:cs="仿宋" w:asciiTheme="minorEastAsia" w:hAnsiTheme="minorEastAsia" w:eastAsiaTheme="minorEastAsia"/>
          <w:sz w:val="32"/>
          <w:lang w:eastAsia="zh-CN"/>
        </w:rPr>
        <w:t>省财政厅相关</w:t>
      </w:r>
      <w:r>
        <w:rPr>
          <w:rFonts w:hint="eastAsia" w:cs="仿宋" w:asciiTheme="minorEastAsia" w:hAnsiTheme="minorEastAsia" w:eastAsiaTheme="minorEastAsia"/>
          <w:sz w:val="32"/>
        </w:rPr>
        <w:t>文件的部署和要求，邵阳市双清区人民检察院加强管理，不断完善绩效考核管理制度。为加强绩效管理工作，明确责任，细化工作任务，由检察长负总责，分管领导亲自抓，各部门具体落实考核工作。</w:t>
      </w:r>
    </w:p>
    <w:p>
      <w:pPr>
        <w:pStyle w:val="5"/>
        <w:widowControl w:val="0"/>
        <w:numPr>
          <w:ilvl w:val="0"/>
          <w:numId w:val="1"/>
        </w:numPr>
        <w:spacing w:before="0" w:beforeAutospacing="0" w:after="0" w:afterAutospacing="0" w:line="560" w:lineRule="exact"/>
        <w:ind w:firstLine="640" w:firstLineChars="200"/>
        <w:jc w:val="both"/>
        <w:rPr>
          <w:rFonts w:cs="楷体" w:asciiTheme="minorEastAsia" w:hAnsiTheme="minorEastAsia" w:eastAsiaTheme="minorEastAsia"/>
          <w:sz w:val="32"/>
        </w:rPr>
      </w:pPr>
      <w:r>
        <w:rPr>
          <w:rFonts w:hint="eastAsia" w:cs="楷体" w:asciiTheme="minorEastAsia" w:hAnsiTheme="minorEastAsia" w:eastAsiaTheme="minorEastAsia"/>
          <w:sz w:val="32"/>
        </w:rPr>
        <w:t>资金投入情况分析</w:t>
      </w:r>
    </w:p>
    <w:p>
      <w:pPr>
        <w:widowControl/>
        <w:spacing w:line="580" w:lineRule="exact"/>
        <w:ind w:firstLine="640" w:firstLineChars="200"/>
        <w:textAlignment w:val="baseline"/>
        <w:rPr>
          <w:rFonts w:cs="仿宋" w:asciiTheme="minorEastAsia" w:hAnsiTheme="minorEastAsia"/>
          <w:sz w:val="32"/>
        </w:rPr>
      </w:pPr>
      <w:r>
        <w:rPr>
          <w:rFonts w:hint="eastAsia" w:cs="仿宋" w:asciiTheme="minorEastAsia" w:hAnsiTheme="minorEastAsia"/>
          <w:sz w:val="32"/>
        </w:rPr>
        <w:t>我院所有支出实行绩效目标管理，本年收入</w:t>
      </w:r>
      <w:r>
        <w:rPr>
          <w:rFonts w:hint="eastAsia" w:cs="仿宋" w:asciiTheme="minorEastAsia" w:hAnsiTheme="minorEastAsia"/>
          <w:sz w:val="32"/>
          <w:lang w:val="en-US" w:eastAsia="zh-CN"/>
        </w:rPr>
        <w:t>1404.3</w:t>
      </w:r>
      <w:r>
        <w:rPr>
          <w:rFonts w:hint="eastAsia" w:cs="仿宋" w:asciiTheme="minorEastAsia" w:hAnsiTheme="minorEastAsia"/>
          <w:sz w:val="32"/>
        </w:rPr>
        <w:t>万元，</w:t>
      </w:r>
      <w:r>
        <w:rPr>
          <w:rFonts w:hint="eastAsia" w:cs="仿宋" w:asciiTheme="minorEastAsia" w:hAnsiTheme="minorEastAsia"/>
          <w:sz w:val="32"/>
          <w:lang w:eastAsia="zh-CN"/>
        </w:rPr>
        <w:t>年初结转和结余</w:t>
      </w:r>
      <w:r>
        <w:rPr>
          <w:rFonts w:hint="eastAsia" w:cs="仿宋" w:asciiTheme="minorEastAsia" w:hAnsiTheme="minorEastAsia"/>
          <w:sz w:val="32"/>
          <w:lang w:val="en-US" w:eastAsia="zh-CN"/>
        </w:rPr>
        <w:t>311.19万元，</w:t>
      </w:r>
      <w:r>
        <w:rPr>
          <w:rFonts w:hint="eastAsia" w:cs="仿宋" w:asciiTheme="minorEastAsia" w:hAnsiTheme="minorEastAsia"/>
          <w:sz w:val="32"/>
        </w:rPr>
        <w:t>本年支出</w:t>
      </w:r>
      <w:r>
        <w:rPr>
          <w:rFonts w:hint="eastAsia" w:cs="仿宋" w:asciiTheme="minorEastAsia" w:hAnsiTheme="minorEastAsia"/>
          <w:sz w:val="32"/>
          <w:lang w:val="en-US" w:eastAsia="zh-CN"/>
        </w:rPr>
        <w:t>1560.05</w:t>
      </w:r>
      <w:r>
        <w:rPr>
          <w:rFonts w:hint="eastAsia" w:cs="仿宋" w:asciiTheme="minorEastAsia" w:hAnsiTheme="minorEastAsia"/>
          <w:sz w:val="32"/>
        </w:rPr>
        <w:t>万元，年末结转结余</w:t>
      </w:r>
      <w:r>
        <w:rPr>
          <w:rFonts w:hint="eastAsia" w:cs="仿宋" w:asciiTheme="minorEastAsia" w:hAnsiTheme="minorEastAsia"/>
          <w:sz w:val="32"/>
          <w:lang w:val="en-US" w:eastAsia="zh-CN"/>
        </w:rPr>
        <w:t>155.44</w:t>
      </w:r>
      <w:r>
        <w:rPr>
          <w:rFonts w:hint="eastAsia" w:cs="仿宋" w:asciiTheme="minorEastAsia" w:hAnsiTheme="minorEastAsia"/>
          <w:sz w:val="32"/>
        </w:rPr>
        <w:t>万元，</w:t>
      </w:r>
      <w:r>
        <w:rPr>
          <w:rStyle w:val="15"/>
          <w:rFonts w:hint="eastAsia" w:cs="仿宋" w:asciiTheme="minorEastAsia" w:hAnsiTheme="minorEastAsia"/>
          <w:color w:val="000000"/>
          <w:sz w:val="32"/>
          <w:szCs w:val="32"/>
        </w:rPr>
        <w:t>其中:省财政基本支出</w:t>
      </w:r>
      <w:r>
        <w:rPr>
          <w:rStyle w:val="15"/>
          <w:rFonts w:hint="eastAsia" w:cs="仿宋" w:asciiTheme="minorEastAsia" w:hAnsiTheme="minorEastAsia"/>
          <w:color w:val="000000"/>
          <w:sz w:val="32"/>
          <w:szCs w:val="32"/>
          <w:lang w:val="en-US" w:eastAsia="zh-CN"/>
        </w:rPr>
        <w:t>1168.94</w:t>
      </w:r>
      <w:r>
        <w:rPr>
          <w:rStyle w:val="15"/>
          <w:rFonts w:hint="eastAsia" w:cs="仿宋" w:asciiTheme="minorEastAsia" w:hAnsiTheme="minorEastAsia"/>
          <w:color w:val="000000"/>
          <w:sz w:val="32"/>
          <w:szCs w:val="32"/>
        </w:rPr>
        <w:t>万元，省财政项目支出</w:t>
      </w:r>
      <w:r>
        <w:rPr>
          <w:rStyle w:val="15"/>
          <w:rFonts w:hint="eastAsia" w:cs="仿宋" w:asciiTheme="minorEastAsia" w:hAnsiTheme="minorEastAsia"/>
          <w:color w:val="000000"/>
          <w:sz w:val="32"/>
          <w:szCs w:val="32"/>
          <w:lang w:val="en-US" w:eastAsia="zh-CN"/>
        </w:rPr>
        <w:t>252.16</w:t>
      </w:r>
      <w:r>
        <w:rPr>
          <w:rStyle w:val="15"/>
          <w:rFonts w:hint="eastAsia" w:cs="仿宋" w:asciiTheme="minorEastAsia" w:hAnsiTheme="minorEastAsia"/>
          <w:color w:val="000000"/>
          <w:sz w:val="32"/>
          <w:szCs w:val="32"/>
        </w:rPr>
        <w:t>万元，地方财政支出</w:t>
      </w:r>
      <w:r>
        <w:rPr>
          <w:rStyle w:val="15"/>
          <w:rFonts w:hint="eastAsia" w:cs="仿宋" w:asciiTheme="minorEastAsia" w:hAnsiTheme="minorEastAsia"/>
          <w:color w:val="000000"/>
          <w:sz w:val="32"/>
          <w:szCs w:val="32"/>
          <w:lang w:val="en-US" w:eastAsia="zh-CN"/>
        </w:rPr>
        <w:t>138.95</w:t>
      </w:r>
      <w:r>
        <w:rPr>
          <w:rStyle w:val="15"/>
          <w:rFonts w:hint="eastAsia" w:cs="仿宋" w:asciiTheme="minorEastAsia" w:hAnsiTheme="minorEastAsia"/>
          <w:color w:val="000000"/>
          <w:sz w:val="32"/>
          <w:szCs w:val="32"/>
        </w:rPr>
        <w:t>万元，整体预算执行率</w:t>
      </w:r>
      <w:r>
        <w:rPr>
          <w:rStyle w:val="15"/>
          <w:rFonts w:hint="eastAsia" w:cs="仿宋" w:asciiTheme="minorEastAsia" w:hAnsiTheme="minorEastAsia"/>
          <w:color w:val="000000"/>
          <w:sz w:val="32"/>
          <w:szCs w:val="32"/>
          <w:lang w:val="en-US" w:eastAsia="zh-CN"/>
        </w:rPr>
        <w:t>90.94</w:t>
      </w:r>
      <w:r>
        <w:rPr>
          <w:rStyle w:val="15"/>
          <w:rFonts w:hint="eastAsia" w:cs="仿宋" w:asciiTheme="minorEastAsia" w:hAnsiTheme="minorEastAsia"/>
          <w:color w:val="000000"/>
          <w:sz w:val="32"/>
          <w:szCs w:val="32"/>
        </w:rPr>
        <w:t>%；</w:t>
      </w:r>
    </w:p>
    <w:p>
      <w:pPr>
        <w:pStyle w:val="5"/>
        <w:widowControl w:val="0"/>
        <w:numPr>
          <w:ilvl w:val="0"/>
          <w:numId w:val="1"/>
        </w:numPr>
        <w:spacing w:before="0" w:beforeAutospacing="0" w:after="0" w:afterAutospacing="0" w:line="560" w:lineRule="exact"/>
        <w:ind w:firstLine="640" w:firstLineChars="200"/>
        <w:jc w:val="both"/>
        <w:rPr>
          <w:rFonts w:cs="楷体" w:asciiTheme="minorEastAsia" w:hAnsiTheme="minorEastAsia" w:eastAsiaTheme="minorEastAsia"/>
          <w:sz w:val="32"/>
        </w:rPr>
      </w:pPr>
      <w:r>
        <w:rPr>
          <w:rFonts w:hint="eastAsia" w:cs="楷体" w:asciiTheme="minorEastAsia" w:hAnsiTheme="minorEastAsia" w:eastAsiaTheme="minorEastAsia"/>
          <w:sz w:val="32"/>
        </w:rPr>
        <w:t>总体绩效目标</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始终坚持以执法办案为中心，通过依法开展查办案件工作，认真执行《刑法》《刑诉法》等法律、法规，维护了群众的合法利益，做到程序公正、实体公正，为经济发展和百姓生活营造了公平、和谐的社会环境。</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对损害国家利益、社会公共利益的调解进行监督；对民事行政审判人员违法行为及民事行政审判中的违法情形进行监督；对执法活动实施监督；督促行政机关履行职责，始终支持起诉；负责办理公益诉讼案件。规法执法充分履行法律监督职能，切实提高办案质量，提升执法公信力，为经济持续健康发展提供有力的法治保障。</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加强检察信息化的顶层设计、科学规范和统筹建设，全面建成电子检务工程并投入使用，大力推进“全业务智慧办案、全要素智慧管理、全方位智慧服务、全领域支撑”，推动检察工作与互联网、大数据、人工智能等现代科技的深度融合。</w:t>
      </w:r>
    </w:p>
    <w:p>
      <w:pPr>
        <w:pStyle w:val="5"/>
        <w:widowControl w:val="0"/>
        <w:numPr>
          <w:ilvl w:val="0"/>
          <w:numId w:val="1"/>
        </w:numPr>
        <w:spacing w:before="0" w:beforeAutospacing="0" w:after="0" w:afterAutospacing="0" w:line="560" w:lineRule="exact"/>
        <w:ind w:firstLine="640" w:firstLineChars="200"/>
        <w:jc w:val="both"/>
        <w:rPr>
          <w:rFonts w:cs="楷体" w:asciiTheme="minorEastAsia" w:hAnsiTheme="minorEastAsia" w:eastAsiaTheme="minorEastAsia"/>
          <w:sz w:val="32"/>
        </w:rPr>
      </w:pPr>
      <w:r>
        <w:rPr>
          <w:rFonts w:hint="eastAsia" w:cs="楷体" w:asciiTheme="minorEastAsia" w:hAnsiTheme="minorEastAsia" w:eastAsiaTheme="minorEastAsia"/>
          <w:sz w:val="32"/>
        </w:rPr>
        <w:t>绩效指标完成情况分析</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数量指标：全年完成受理办理各类案件数量</w:t>
      </w:r>
      <w:r>
        <w:rPr>
          <w:rFonts w:hint="eastAsia" w:cs="仿宋" w:asciiTheme="minorEastAsia" w:hAnsiTheme="minorEastAsia"/>
          <w:sz w:val="32"/>
          <w:szCs w:val="32"/>
          <w:lang w:val="en-US" w:eastAsia="zh-CN"/>
        </w:rPr>
        <w:t>1240</w:t>
      </w:r>
      <w:r>
        <w:rPr>
          <w:rFonts w:hint="eastAsia" w:cs="仿宋" w:asciiTheme="minorEastAsia" w:hAnsiTheme="minorEastAsia"/>
          <w:sz w:val="32"/>
          <w:szCs w:val="32"/>
        </w:rPr>
        <w:t>件；全年完成受理司法救助案件受理1件。</w:t>
      </w:r>
    </w:p>
    <w:p>
      <w:pPr>
        <w:ind w:firstLine="640" w:firstLineChars="200"/>
        <w:rPr>
          <w:rFonts w:cs="仿宋" w:asciiTheme="minorEastAsia" w:hAnsiTheme="minorEastAsia"/>
          <w:sz w:val="32"/>
          <w:szCs w:val="32"/>
        </w:rPr>
      </w:pPr>
      <w:r>
        <w:rPr>
          <w:rFonts w:hint="eastAsia" w:cs="仿宋" w:asciiTheme="minorEastAsia" w:hAnsiTheme="minorEastAsia"/>
          <w:sz w:val="32"/>
          <w:szCs w:val="32"/>
        </w:rPr>
        <w:t>质量指标：全年完成案件办案率95%。</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时效指标：业务装备采购不够及时，未按预算执行进度完成装备采购。</w:t>
      </w:r>
    </w:p>
    <w:p>
      <w:pPr>
        <w:pStyle w:val="5"/>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社会效益指标：化解了社会矛盾，为经济社会发展提供了良好环境；改善了办案基础设施和办案条件；为人民群众提供了有效的公共法律服务水平。</w:t>
      </w:r>
    </w:p>
    <w:p>
      <w:pPr>
        <w:pStyle w:val="5"/>
        <w:widowControl w:val="0"/>
        <w:numPr>
          <w:ilvl w:val="0"/>
          <w:numId w:val="1"/>
        </w:numPr>
        <w:spacing w:before="0" w:beforeAutospacing="0" w:after="0" w:afterAutospacing="0" w:line="560" w:lineRule="exact"/>
        <w:ind w:firstLine="640" w:firstLineChars="200"/>
        <w:jc w:val="both"/>
        <w:rPr>
          <w:rFonts w:cs="楷体" w:asciiTheme="minorEastAsia" w:hAnsiTheme="minorEastAsia" w:eastAsiaTheme="minorEastAsia"/>
          <w:sz w:val="32"/>
        </w:rPr>
      </w:pPr>
      <w:r>
        <w:rPr>
          <w:rFonts w:hint="eastAsia" w:cs="楷体" w:asciiTheme="minorEastAsia" w:hAnsiTheme="minorEastAsia" w:eastAsiaTheme="minorEastAsia"/>
          <w:sz w:val="32"/>
        </w:rPr>
        <w:t>预算绩效管理</w:t>
      </w:r>
    </w:p>
    <w:p>
      <w:pPr>
        <w:pStyle w:val="5"/>
        <w:tabs>
          <w:tab w:val="left" w:pos="0"/>
        </w:tabs>
        <w:spacing w:before="0" w:beforeAutospacing="0" w:after="0" w:afterAutospacing="0"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我院绩效目标拟应用于各项资金预决算执行过程，并有效发挥双向控制作用；同时作为各业务科室指导和执行指南。</w:t>
      </w:r>
    </w:p>
    <w:p>
      <w:pPr>
        <w:pStyle w:val="5"/>
        <w:tabs>
          <w:tab w:val="left" w:pos="0"/>
        </w:tabs>
        <w:spacing w:before="0" w:beforeAutospacing="0" w:after="0" w:afterAutospacing="0" w:line="560" w:lineRule="exact"/>
        <w:ind w:firstLine="640" w:firstLineChars="200"/>
        <w:rPr>
          <w:rFonts w:cs="仿宋" w:asciiTheme="minorEastAsia" w:hAnsiTheme="minorEastAsia" w:eastAsiaTheme="minorEastAsia"/>
          <w:sz w:val="32"/>
        </w:rPr>
      </w:pPr>
      <w:r>
        <w:rPr>
          <w:rFonts w:hint="eastAsia" w:cs="仿宋" w:asciiTheme="minorEastAsia" w:hAnsiTheme="minorEastAsia" w:eastAsiaTheme="minorEastAsia"/>
          <w:sz w:val="32"/>
        </w:rPr>
        <w:t>为加强绩效管理，切实提高财政资金的使用效益，我院将更加严格落实财政绩效评价管理要求，认真组织每年的整体支出绩效评价，切实提高各部门的绩效管理意识。</w:t>
      </w:r>
    </w:p>
    <w:p>
      <w:pPr>
        <w:pStyle w:val="5"/>
        <w:tabs>
          <w:tab w:val="left" w:pos="0"/>
        </w:tabs>
        <w:spacing w:before="0" w:beforeAutospacing="0" w:after="0" w:afterAutospacing="0" w:line="560" w:lineRule="exact"/>
        <w:ind w:firstLine="640" w:firstLineChars="200"/>
        <w:rPr>
          <w:rFonts w:ascii="仿宋" w:hAnsi="仿宋" w:eastAsia="仿宋" w:cs="仿宋"/>
          <w:sz w:val="32"/>
        </w:rPr>
      </w:pPr>
    </w:p>
    <w:p>
      <w:pPr>
        <w:pStyle w:val="5"/>
        <w:spacing w:before="0" w:beforeAutospacing="0" w:after="0" w:afterAutospacing="0" w:line="560" w:lineRule="exact"/>
        <w:ind w:firstLine="880" w:firstLineChars="200"/>
        <w:jc w:val="center"/>
        <w:outlineLvl w:val="0"/>
        <w:rPr>
          <w:rStyle w:val="8"/>
          <w:rFonts w:ascii="黑体" w:hAnsi="黑体" w:eastAsia="黑体" w:cs="黑体"/>
          <w:sz w:val="44"/>
          <w:szCs w:val="44"/>
          <w:shd w:val="clear" w:color="auto" w:fill="FFFFFF"/>
        </w:rPr>
      </w:pPr>
      <w:r>
        <w:rPr>
          <w:rStyle w:val="8"/>
          <w:rFonts w:hint="eastAsia" w:ascii="黑体" w:hAnsi="黑体" w:eastAsia="黑体" w:cs="黑体"/>
          <w:sz w:val="44"/>
          <w:szCs w:val="44"/>
          <w:shd w:val="clear" w:color="auto" w:fill="FFFFFF"/>
        </w:rPr>
        <w:t>第四部分 名词解释</w:t>
      </w:r>
    </w:p>
    <w:p>
      <w:pPr>
        <w:ind w:firstLine="640" w:firstLineChars="200"/>
        <w:jc w:val="left"/>
        <w:rPr>
          <w:rFonts w:cs="黑体" w:asciiTheme="minorEastAsia" w:hAnsiTheme="minorEastAsia"/>
          <w:color w:val="000000"/>
          <w:kern w:val="0"/>
          <w:sz w:val="32"/>
          <w:szCs w:val="32"/>
        </w:rPr>
      </w:pP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一、财政拨款收入</w:t>
      </w:r>
      <w:r>
        <w:rPr>
          <w:rStyle w:val="8"/>
          <w:rFonts w:cs="楷体" w:asciiTheme="minorEastAsia" w:hAnsiTheme="minorEastAsia"/>
          <w:sz w:val="32"/>
          <w:szCs w:val="32"/>
          <w:shd w:val="clear" w:color="auto" w:fill="FFFFFF"/>
        </w:rPr>
        <w:t>：</w:t>
      </w:r>
      <w:r>
        <w:rPr>
          <w:rFonts w:cs="仿宋_GB2312" w:asciiTheme="minorEastAsia" w:hAnsiTheme="minorEastAsia"/>
          <w:color w:val="353535"/>
          <w:sz w:val="32"/>
          <w:szCs w:val="32"/>
        </w:rPr>
        <w:t>指省本级财政当年拨付的资金。</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二、其他收入：</w:t>
      </w:r>
      <w:r>
        <w:rPr>
          <w:rFonts w:cs="仿宋_GB2312" w:asciiTheme="minorEastAsia" w:hAnsiTheme="minorEastAsia"/>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三、上年结转和结余：</w:t>
      </w:r>
      <w:r>
        <w:rPr>
          <w:rFonts w:cs="仿宋_GB2312" w:asciiTheme="minorEastAsia" w:hAnsiTheme="minorEastAsia"/>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四、年末结转和结余：</w:t>
      </w:r>
      <w:r>
        <w:rPr>
          <w:rFonts w:cs="仿宋_GB2312" w:asciiTheme="minorEastAsia" w:hAnsiTheme="minorEastAsia"/>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五、公共安全支出（类）检察（款）：</w:t>
      </w:r>
      <w:r>
        <w:rPr>
          <w:rFonts w:cs="仿宋_GB2312" w:asciiTheme="minorEastAsia" w:hAnsiTheme="minorEastAsia"/>
          <w:color w:val="353535"/>
          <w:sz w:val="32"/>
          <w:szCs w:val="32"/>
        </w:rPr>
        <w:t>指检察机关用于保障机构正常运行、开展检察业务工作的支出。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六、教育支出（类）进修及培训（款）培训支出（项）：</w:t>
      </w:r>
      <w:r>
        <w:rPr>
          <w:rFonts w:cs="仿宋_GB2312" w:asciiTheme="minorEastAsia" w:hAnsiTheme="minorEastAsia"/>
          <w:color w:val="353535"/>
          <w:sz w:val="32"/>
          <w:szCs w:val="32"/>
        </w:rPr>
        <w:t>指单位用于干警教育培训的支出。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七、社会保障和就业支出（类）行政事业单位离退休（款）未归口管理的行政单位离退休（项）：</w:t>
      </w:r>
      <w:r>
        <w:rPr>
          <w:rFonts w:cs="仿宋_GB2312" w:asciiTheme="minorEastAsia" w:hAnsiTheme="minorEastAsia"/>
          <w:color w:val="353535"/>
          <w:sz w:val="32"/>
          <w:szCs w:val="32"/>
        </w:rPr>
        <w:t>指单位用于未归口社保的离退休人员的工资性支出。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八、住房保障支出（类）住房改革支出（款）：</w:t>
      </w:r>
      <w:r>
        <w:rPr>
          <w:rFonts w:cs="仿宋_GB2312" w:asciiTheme="minorEastAsia" w:hAnsiTheme="minorEastAsia"/>
          <w:color w:val="353535"/>
          <w:sz w:val="32"/>
          <w:szCs w:val="32"/>
        </w:rPr>
        <w:t>指单位按照国家政策规定用于住房改革方面的支出。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（一）住房公积金（项）</w:t>
      </w:r>
      <w:r>
        <w:rPr>
          <w:rStyle w:val="8"/>
          <w:rFonts w:cs="楷体" w:asciiTheme="minorEastAsia" w:hAnsiTheme="minorEastAsia"/>
          <w:sz w:val="32"/>
          <w:szCs w:val="32"/>
          <w:shd w:val="clear" w:color="auto" w:fill="FFFFFF"/>
        </w:rPr>
        <w:t>：</w:t>
      </w:r>
      <w:r>
        <w:rPr>
          <w:rFonts w:cs="仿宋_GB2312" w:asciiTheme="minorEastAsia" w:hAnsiTheme="minorEastAsia"/>
          <w:color w:val="353535"/>
          <w:sz w:val="32"/>
          <w:szCs w:val="32"/>
        </w:rPr>
        <w:t>指按照国家统一规定，按规定比例为职工缴纳的住房公积金。</w:t>
      </w:r>
    </w:p>
    <w:p>
      <w:pPr>
        <w:adjustRightInd w:val="0"/>
        <w:snapToGrid w:val="0"/>
        <w:spacing w:line="560" w:lineRule="exact"/>
        <w:ind w:firstLine="640" w:firstLineChars="200"/>
        <w:rPr>
          <w:rFonts w:asciiTheme="minorEastAsia" w:hAnsiTheme="minorEastAsia"/>
          <w:sz w:val="32"/>
          <w:szCs w:val="32"/>
        </w:rPr>
      </w:pPr>
      <w:r>
        <w:rPr>
          <w:rStyle w:val="8"/>
          <w:rFonts w:cs="楷体" w:asciiTheme="minorEastAsia" w:hAnsiTheme="minorEastAsia"/>
          <w:sz w:val="32"/>
          <w:szCs w:val="32"/>
          <w:shd w:val="clear" w:color="auto" w:fill="FFFFFF"/>
        </w:rPr>
        <w:t>（二）</w:t>
      </w:r>
      <w:r>
        <w:rPr>
          <w:rStyle w:val="8"/>
          <w:rFonts w:hint="eastAsia" w:cs="楷体" w:asciiTheme="minorEastAsia" w:hAnsiTheme="minorEastAsia"/>
          <w:sz w:val="32"/>
          <w:szCs w:val="32"/>
          <w:shd w:val="clear" w:color="auto" w:fill="FFFFFF"/>
        </w:rPr>
        <w:t>购房补贴（项）：</w:t>
      </w:r>
      <w:r>
        <w:rPr>
          <w:rFonts w:cs="仿宋_GB2312" w:asciiTheme="minorEastAsia" w:hAnsiTheme="minorEastAsia"/>
          <w:color w:val="353535"/>
          <w:sz w:val="32"/>
          <w:szCs w:val="32"/>
        </w:rPr>
        <w:t>指</w:t>
      </w:r>
      <w:r>
        <w:rPr>
          <w:rFonts w:asciiTheme="minorEastAsia" w:hAnsiTheme="minorEastAsia"/>
          <w:color w:val="353535"/>
          <w:sz w:val="32"/>
          <w:szCs w:val="32"/>
        </w:rPr>
        <w:t>1998</w:t>
      </w:r>
      <w:r>
        <w:rPr>
          <w:rFonts w:cs="仿宋_GB2312" w:asciiTheme="minorEastAsia" w:hAnsiTheme="minorEastAsia"/>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九、基本支出：</w:t>
      </w:r>
      <w:r>
        <w:rPr>
          <w:rFonts w:cs="仿宋_GB2312" w:asciiTheme="minorEastAsia" w:hAnsiTheme="minorEastAsia"/>
          <w:color w:val="353535"/>
          <w:sz w:val="32"/>
          <w:szCs w:val="32"/>
        </w:rPr>
        <w:t>指为保障机构正常运转、完成日常工作任务而发生的人员支出和公用支出。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十、项目支出：</w:t>
      </w:r>
      <w:r>
        <w:rPr>
          <w:rFonts w:cs="仿宋_GB2312" w:asciiTheme="minorEastAsia" w:hAnsiTheme="minorEastAsia"/>
          <w:color w:val="353535"/>
          <w:sz w:val="32"/>
          <w:szCs w:val="32"/>
        </w:rPr>
        <w:t>指在基本支出以外为完成特定任务和事业发展目标所发生的支出。</w:t>
      </w:r>
    </w:p>
    <w:p>
      <w:pPr>
        <w:adjustRightInd w:val="0"/>
        <w:snapToGrid w:val="0"/>
        <w:spacing w:line="560" w:lineRule="exact"/>
        <w:ind w:firstLine="640" w:firstLineChars="200"/>
        <w:rPr>
          <w:rFonts w:asciiTheme="minorEastAsia" w:hAnsiTheme="minorEastAsia"/>
          <w:sz w:val="32"/>
          <w:szCs w:val="32"/>
        </w:rPr>
      </w:pPr>
      <w:r>
        <w:rPr>
          <w:rStyle w:val="8"/>
          <w:rFonts w:hint="eastAsia" w:cs="楷体" w:asciiTheme="minorEastAsia" w:hAnsiTheme="minorEastAsia"/>
          <w:sz w:val="32"/>
          <w:szCs w:val="32"/>
          <w:shd w:val="clear" w:color="auto" w:fill="FFFFFF"/>
        </w:rPr>
        <w:t>十一、“ 三公” 经费财政拨款支出：</w:t>
      </w:r>
      <w:r>
        <w:rPr>
          <w:rFonts w:cs="仿宋_GB2312" w:asciiTheme="minorEastAsia" w:hAnsiTheme="minorEastAsia"/>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cs="仿宋_GB2312" w:asciiTheme="minorEastAsia" w:hAnsiTheme="minorEastAsia"/>
          <w:color w:val="353535"/>
          <w:sz w:val="32"/>
          <w:szCs w:val="32"/>
        </w:rPr>
      </w:pPr>
      <w:r>
        <w:rPr>
          <w:rStyle w:val="8"/>
          <w:rFonts w:hint="eastAsia" w:cs="楷体" w:asciiTheme="minorEastAsia" w:hAnsiTheme="minorEastAsia"/>
          <w:sz w:val="32"/>
          <w:szCs w:val="32"/>
          <w:shd w:val="clear" w:color="auto" w:fill="FFFFFF"/>
        </w:rPr>
        <w:t>十二、机关运行经费</w:t>
      </w:r>
      <w:r>
        <w:rPr>
          <w:rFonts w:hint="eastAsia" w:cs="黑体" w:asciiTheme="minorEastAsia" w:hAnsiTheme="minorEastAsia"/>
          <w:b/>
          <w:color w:val="353535"/>
          <w:sz w:val="32"/>
          <w:szCs w:val="32"/>
        </w:rPr>
        <w:t>：</w:t>
      </w:r>
      <w:r>
        <w:rPr>
          <w:rFonts w:cs="仿宋_GB2312" w:asciiTheme="minorEastAsia" w:hAnsiTheme="minorEastAsia"/>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1"/>
        <w:jc w:val="center"/>
        <w:rPr>
          <w:rFonts w:asciiTheme="minorEastAsia" w:hAnsiTheme="minorEastAsia" w:eastAsiaTheme="minorEastAsia"/>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5"/>
        <w:spacing w:before="0" w:beforeAutospacing="0" w:after="0" w:afterAutospacing="0" w:line="560" w:lineRule="exact"/>
        <w:ind w:firstLine="880" w:firstLineChars="200"/>
        <w:jc w:val="center"/>
        <w:outlineLvl w:val="0"/>
        <w:rPr>
          <w:rStyle w:val="8"/>
          <w:rFonts w:hint="eastAsia" w:ascii="黑体" w:hAnsi="黑体" w:eastAsia="黑体" w:cs="黑体"/>
          <w:sz w:val="44"/>
          <w:szCs w:val="44"/>
          <w:shd w:val="clear" w:color="auto" w:fill="FFFFFF"/>
        </w:rPr>
      </w:pPr>
    </w:p>
    <w:p>
      <w:pPr>
        <w:pStyle w:val="5"/>
        <w:spacing w:before="0" w:beforeAutospacing="0" w:after="0" w:afterAutospacing="0" w:line="560" w:lineRule="exact"/>
        <w:ind w:firstLine="880" w:firstLineChars="200"/>
        <w:jc w:val="center"/>
        <w:outlineLvl w:val="0"/>
        <w:rPr>
          <w:rStyle w:val="8"/>
          <w:rFonts w:hint="eastAsia" w:ascii="黑体" w:hAnsi="黑体" w:eastAsia="黑体" w:cs="黑体"/>
          <w:sz w:val="44"/>
          <w:szCs w:val="44"/>
          <w:shd w:val="clear" w:color="auto" w:fill="FFFFFF"/>
        </w:rPr>
      </w:pPr>
    </w:p>
    <w:p>
      <w:pPr>
        <w:pStyle w:val="5"/>
        <w:spacing w:before="0" w:beforeAutospacing="0" w:after="0" w:afterAutospacing="0" w:line="560" w:lineRule="exact"/>
        <w:ind w:firstLine="880" w:firstLineChars="200"/>
        <w:jc w:val="center"/>
        <w:outlineLvl w:val="0"/>
        <w:rPr>
          <w:rStyle w:val="8"/>
          <w:rFonts w:hint="eastAsia" w:ascii="黑体" w:hAnsi="黑体" w:eastAsia="黑体" w:cs="黑体"/>
          <w:sz w:val="44"/>
          <w:szCs w:val="44"/>
          <w:shd w:val="clear" w:color="auto" w:fill="FFFFFF"/>
        </w:rPr>
      </w:pPr>
    </w:p>
    <w:p>
      <w:pPr>
        <w:pStyle w:val="5"/>
        <w:spacing w:before="0" w:beforeAutospacing="0" w:after="0" w:afterAutospacing="0" w:line="560" w:lineRule="exact"/>
        <w:ind w:firstLine="880" w:firstLineChars="200"/>
        <w:jc w:val="center"/>
        <w:outlineLvl w:val="0"/>
        <w:rPr>
          <w:rStyle w:val="8"/>
          <w:rFonts w:hint="eastAsia" w:ascii="黑体" w:hAnsi="黑体" w:eastAsia="黑体" w:cs="黑体"/>
          <w:sz w:val="44"/>
          <w:szCs w:val="44"/>
          <w:shd w:val="clear" w:color="auto" w:fill="FFFFFF"/>
        </w:rPr>
      </w:pPr>
    </w:p>
    <w:p>
      <w:pPr>
        <w:pStyle w:val="5"/>
        <w:spacing w:before="0" w:beforeAutospacing="0" w:after="0" w:afterAutospacing="0" w:line="560" w:lineRule="exact"/>
        <w:ind w:firstLine="880" w:firstLineChars="200"/>
        <w:jc w:val="center"/>
        <w:outlineLvl w:val="0"/>
        <w:rPr>
          <w:rFonts w:ascii="黑体" w:hAnsi="黑体" w:eastAsia="黑体" w:cs="黑体"/>
          <w:b/>
          <w:sz w:val="44"/>
          <w:szCs w:val="44"/>
          <w:shd w:val="clear" w:color="auto" w:fill="FFFFFF"/>
        </w:rPr>
      </w:pPr>
      <w:r>
        <w:rPr>
          <w:rStyle w:val="8"/>
          <w:rFonts w:hint="eastAsia" w:ascii="黑体" w:hAnsi="黑体" w:eastAsia="黑体" w:cs="黑体"/>
          <w:sz w:val="44"/>
          <w:szCs w:val="44"/>
          <w:shd w:val="clear" w:color="auto" w:fill="FFFFFF"/>
        </w:rPr>
        <w:t>第五部分 附件</w:t>
      </w:r>
    </w:p>
    <w:p>
      <w:pP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年度部门整体支出绩效评价报告</w:t>
      </w:r>
    </w:p>
    <w:p>
      <w:pPr>
        <w:pStyle w:val="5"/>
        <w:adjustRightInd w:val="0"/>
        <w:snapToGrid w:val="0"/>
        <w:spacing w:before="0" w:beforeAutospacing="0" w:after="0" w:afterAutospacing="0" w:line="560" w:lineRule="exact"/>
        <w:ind w:firstLine="640" w:firstLineChars="200"/>
        <w:jc w:val="both"/>
        <w:outlineLvl w:val="1"/>
        <w:rPr>
          <w:rStyle w:val="8"/>
          <w:rFonts w:ascii="楷体_GB2312" w:eastAsia="楷体_GB2312" w:cs="宋体"/>
          <w:b w:val="0"/>
          <w:sz w:val="32"/>
          <w:szCs w:val="32"/>
          <w:shd w:val="clear" w:color="auto" w:fill="FFFFFF"/>
        </w:rPr>
      </w:pPr>
      <w:r>
        <w:rPr>
          <w:rStyle w:val="8"/>
          <w:rFonts w:hint="eastAsia" w:ascii="楷体_GB2312" w:hAnsi="楷体" w:eastAsia="楷体_GB2312" w:cs="楷体"/>
          <w:sz w:val="32"/>
          <w:szCs w:val="32"/>
          <w:shd w:val="clear" w:color="auto" w:fill="FFFFFF"/>
        </w:rPr>
        <w:t>（https://www.hn.jcy.gov.cn/xwfb/</w:t>
      </w:r>
      <w:r>
        <w:rPr>
          <w:rStyle w:val="8"/>
          <w:rFonts w:hint="eastAsia" w:ascii="楷体_GB2312" w:hAnsi="楷体" w:eastAsia="楷体_GB2312" w:cs="楷体"/>
          <w:sz w:val="32"/>
          <w:szCs w:val="32"/>
          <w:shd w:val="clear" w:color="auto" w:fill="FFFFFF"/>
          <w:lang w:val="en-US" w:eastAsia="zh-CN"/>
        </w:rPr>
        <w:t>czxx/qtczxxgk/202206/1537346769879302144.html</w:t>
      </w:r>
      <w:r>
        <w:rPr>
          <w:rStyle w:val="8"/>
          <w:rFonts w:hint="eastAsia" w:ascii="楷体_GB2312" w:hAnsi="楷体" w:eastAsia="楷体_GB2312" w:cs="楷体"/>
          <w:sz w:val="32"/>
          <w:szCs w:val="32"/>
          <w:shd w:val="clear" w:color="auto" w:fill="FFFFFF"/>
        </w:rPr>
        <w:t>）</w:t>
      </w:r>
    </w:p>
    <w:p>
      <w:pPr>
        <w:widowControl/>
        <w:jc w:val="left"/>
        <w:rPr>
          <w:rFonts w:ascii="黑体" w:eastAsia="黑体" w:cs="黑体"/>
          <w:color w:val="000000"/>
          <w:kern w:val="0"/>
          <w:sz w:val="70"/>
          <w:szCs w:val="70"/>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 xml:space="preserve">   </w:t>
      </w:r>
    </w:p>
    <w:p>
      <w:pPr>
        <w:pStyle w:val="11"/>
        <w:jc w:val="center"/>
        <w:rPr>
          <w:sz w:val="72"/>
          <w:szCs w:val="72"/>
        </w:rPr>
      </w:pPr>
    </w:p>
    <w:p>
      <w:pPr>
        <w:pStyle w:val="11"/>
        <w:jc w:val="center"/>
        <w:rPr>
          <w:sz w:val="72"/>
          <w:szCs w:val="72"/>
        </w:rPr>
      </w:pPr>
    </w:p>
    <w:p>
      <w:pPr>
        <w:pStyle w:val="11"/>
        <w:jc w:val="center"/>
        <w:rPr>
          <w:sz w:val="72"/>
          <w:szCs w:val="72"/>
        </w:rPr>
      </w:pP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6A64"/>
    <w:multiLevelType w:val="singleLevel"/>
    <w:tmpl w:val="61386A6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mI5Nzg0MjkyNWQwNzgxODIwZjllY2YxYzE2NTAifQ=="/>
  </w:docVars>
  <w:rsids>
    <w:rsidRoot w:val="004506F9"/>
    <w:rsid w:val="000053A8"/>
    <w:rsid w:val="00006FEA"/>
    <w:rsid w:val="0002229B"/>
    <w:rsid w:val="000273BD"/>
    <w:rsid w:val="000415B7"/>
    <w:rsid w:val="00041E3F"/>
    <w:rsid w:val="00051236"/>
    <w:rsid w:val="00055DAA"/>
    <w:rsid w:val="00061F7B"/>
    <w:rsid w:val="000658A3"/>
    <w:rsid w:val="0007136A"/>
    <w:rsid w:val="00074155"/>
    <w:rsid w:val="000766C8"/>
    <w:rsid w:val="00086DDF"/>
    <w:rsid w:val="0009396B"/>
    <w:rsid w:val="000A28E9"/>
    <w:rsid w:val="000A3F69"/>
    <w:rsid w:val="000B3CA8"/>
    <w:rsid w:val="000F208D"/>
    <w:rsid w:val="00103957"/>
    <w:rsid w:val="00152519"/>
    <w:rsid w:val="00152C6D"/>
    <w:rsid w:val="00157C0F"/>
    <w:rsid w:val="00162D39"/>
    <w:rsid w:val="001678BD"/>
    <w:rsid w:val="001A67DB"/>
    <w:rsid w:val="001C3C29"/>
    <w:rsid w:val="001D12E3"/>
    <w:rsid w:val="001D51E5"/>
    <w:rsid w:val="001D6028"/>
    <w:rsid w:val="001E080D"/>
    <w:rsid w:val="001E1BFA"/>
    <w:rsid w:val="001E53D0"/>
    <w:rsid w:val="001F0C3B"/>
    <w:rsid w:val="00202C82"/>
    <w:rsid w:val="00214427"/>
    <w:rsid w:val="00226CB7"/>
    <w:rsid w:val="00245374"/>
    <w:rsid w:val="0024770A"/>
    <w:rsid w:val="00264552"/>
    <w:rsid w:val="00264EF9"/>
    <w:rsid w:val="00265724"/>
    <w:rsid w:val="002700CB"/>
    <w:rsid w:val="00270F46"/>
    <w:rsid w:val="0027426B"/>
    <w:rsid w:val="002E0A30"/>
    <w:rsid w:val="002F55BD"/>
    <w:rsid w:val="00302D70"/>
    <w:rsid w:val="00304BF3"/>
    <w:rsid w:val="00311E1F"/>
    <w:rsid w:val="003130C4"/>
    <w:rsid w:val="00316C4B"/>
    <w:rsid w:val="0032192B"/>
    <w:rsid w:val="00331C18"/>
    <w:rsid w:val="0033384E"/>
    <w:rsid w:val="00336F1E"/>
    <w:rsid w:val="003479BD"/>
    <w:rsid w:val="0037197D"/>
    <w:rsid w:val="003768D5"/>
    <w:rsid w:val="003A365A"/>
    <w:rsid w:val="003A4DD1"/>
    <w:rsid w:val="003C0970"/>
    <w:rsid w:val="003C47E6"/>
    <w:rsid w:val="003C4FC2"/>
    <w:rsid w:val="004049DD"/>
    <w:rsid w:val="00416E61"/>
    <w:rsid w:val="0042790C"/>
    <w:rsid w:val="004433F1"/>
    <w:rsid w:val="00444804"/>
    <w:rsid w:val="004506F9"/>
    <w:rsid w:val="0046676D"/>
    <w:rsid w:val="004717A2"/>
    <w:rsid w:val="00473DF3"/>
    <w:rsid w:val="00487911"/>
    <w:rsid w:val="00491741"/>
    <w:rsid w:val="004E4869"/>
    <w:rsid w:val="00500E5F"/>
    <w:rsid w:val="00504C5E"/>
    <w:rsid w:val="005122EF"/>
    <w:rsid w:val="0051441A"/>
    <w:rsid w:val="00517C33"/>
    <w:rsid w:val="00523644"/>
    <w:rsid w:val="0054069E"/>
    <w:rsid w:val="00544866"/>
    <w:rsid w:val="005765DA"/>
    <w:rsid w:val="005767CC"/>
    <w:rsid w:val="00590D9F"/>
    <w:rsid w:val="00595D26"/>
    <w:rsid w:val="005A74E6"/>
    <w:rsid w:val="005B0465"/>
    <w:rsid w:val="005B404E"/>
    <w:rsid w:val="005D4D55"/>
    <w:rsid w:val="005E2CFB"/>
    <w:rsid w:val="005E57EC"/>
    <w:rsid w:val="005F1944"/>
    <w:rsid w:val="005F2901"/>
    <w:rsid w:val="005F3D1C"/>
    <w:rsid w:val="00615B71"/>
    <w:rsid w:val="0062378F"/>
    <w:rsid w:val="00630589"/>
    <w:rsid w:val="00641842"/>
    <w:rsid w:val="00651EEC"/>
    <w:rsid w:val="006700D5"/>
    <w:rsid w:val="0067195D"/>
    <w:rsid w:val="00686673"/>
    <w:rsid w:val="00691E8C"/>
    <w:rsid w:val="006A22C4"/>
    <w:rsid w:val="006A351B"/>
    <w:rsid w:val="006A410F"/>
    <w:rsid w:val="006B0422"/>
    <w:rsid w:val="006C1B53"/>
    <w:rsid w:val="006D7730"/>
    <w:rsid w:val="006E5284"/>
    <w:rsid w:val="006F3EB5"/>
    <w:rsid w:val="006F6C2B"/>
    <w:rsid w:val="00702E34"/>
    <w:rsid w:val="00704395"/>
    <w:rsid w:val="00717621"/>
    <w:rsid w:val="00720FF1"/>
    <w:rsid w:val="007256AD"/>
    <w:rsid w:val="00727A53"/>
    <w:rsid w:val="007674EF"/>
    <w:rsid w:val="007722B8"/>
    <w:rsid w:val="00787B42"/>
    <w:rsid w:val="007A1D9E"/>
    <w:rsid w:val="007B51A2"/>
    <w:rsid w:val="007C4539"/>
    <w:rsid w:val="007C7997"/>
    <w:rsid w:val="007F3657"/>
    <w:rsid w:val="00804CAB"/>
    <w:rsid w:val="00812ED5"/>
    <w:rsid w:val="00814F46"/>
    <w:rsid w:val="00817A2F"/>
    <w:rsid w:val="0082066C"/>
    <w:rsid w:val="00820D75"/>
    <w:rsid w:val="008277D9"/>
    <w:rsid w:val="0084478C"/>
    <w:rsid w:val="0086638C"/>
    <w:rsid w:val="00891B95"/>
    <w:rsid w:val="00895E7D"/>
    <w:rsid w:val="008A3E8D"/>
    <w:rsid w:val="008B3D86"/>
    <w:rsid w:val="008C33D2"/>
    <w:rsid w:val="008C4497"/>
    <w:rsid w:val="008E6BE6"/>
    <w:rsid w:val="00913635"/>
    <w:rsid w:val="009216F5"/>
    <w:rsid w:val="009237C4"/>
    <w:rsid w:val="00944C48"/>
    <w:rsid w:val="00950252"/>
    <w:rsid w:val="009636DF"/>
    <w:rsid w:val="00967F5D"/>
    <w:rsid w:val="00990827"/>
    <w:rsid w:val="009A0F95"/>
    <w:rsid w:val="009B30DC"/>
    <w:rsid w:val="009B3ADF"/>
    <w:rsid w:val="009C3B52"/>
    <w:rsid w:val="009E6817"/>
    <w:rsid w:val="009E6E9A"/>
    <w:rsid w:val="00A01D2B"/>
    <w:rsid w:val="00A42218"/>
    <w:rsid w:val="00A62160"/>
    <w:rsid w:val="00A70249"/>
    <w:rsid w:val="00A70B02"/>
    <w:rsid w:val="00A71D9F"/>
    <w:rsid w:val="00A7697A"/>
    <w:rsid w:val="00A77EC9"/>
    <w:rsid w:val="00A92E9F"/>
    <w:rsid w:val="00AA217C"/>
    <w:rsid w:val="00AC2B79"/>
    <w:rsid w:val="00AF41FD"/>
    <w:rsid w:val="00B0600D"/>
    <w:rsid w:val="00B25F6C"/>
    <w:rsid w:val="00B33BEA"/>
    <w:rsid w:val="00B45E00"/>
    <w:rsid w:val="00B46A54"/>
    <w:rsid w:val="00B57C9F"/>
    <w:rsid w:val="00B61DA4"/>
    <w:rsid w:val="00B63572"/>
    <w:rsid w:val="00B845B3"/>
    <w:rsid w:val="00B85D8B"/>
    <w:rsid w:val="00B96A7A"/>
    <w:rsid w:val="00BB4A40"/>
    <w:rsid w:val="00BD6C3E"/>
    <w:rsid w:val="00BE3674"/>
    <w:rsid w:val="00C10681"/>
    <w:rsid w:val="00C3049A"/>
    <w:rsid w:val="00C31B1E"/>
    <w:rsid w:val="00C334F0"/>
    <w:rsid w:val="00C47CD5"/>
    <w:rsid w:val="00C516FA"/>
    <w:rsid w:val="00C67411"/>
    <w:rsid w:val="00C77645"/>
    <w:rsid w:val="00CC353E"/>
    <w:rsid w:val="00CC5539"/>
    <w:rsid w:val="00CE04C3"/>
    <w:rsid w:val="00CE76A0"/>
    <w:rsid w:val="00D148C6"/>
    <w:rsid w:val="00D17A8A"/>
    <w:rsid w:val="00D311FB"/>
    <w:rsid w:val="00D327EC"/>
    <w:rsid w:val="00D415BA"/>
    <w:rsid w:val="00D4664E"/>
    <w:rsid w:val="00D50E10"/>
    <w:rsid w:val="00D57AD6"/>
    <w:rsid w:val="00D644EE"/>
    <w:rsid w:val="00D91C04"/>
    <w:rsid w:val="00DD06FF"/>
    <w:rsid w:val="00DD455E"/>
    <w:rsid w:val="00DD5FE9"/>
    <w:rsid w:val="00DE2E5C"/>
    <w:rsid w:val="00DF1045"/>
    <w:rsid w:val="00E00C7A"/>
    <w:rsid w:val="00E01333"/>
    <w:rsid w:val="00E17132"/>
    <w:rsid w:val="00E30A6B"/>
    <w:rsid w:val="00E31976"/>
    <w:rsid w:val="00E37D6C"/>
    <w:rsid w:val="00E55B68"/>
    <w:rsid w:val="00E67BE6"/>
    <w:rsid w:val="00E73B62"/>
    <w:rsid w:val="00E77D94"/>
    <w:rsid w:val="00E8683C"/>
    <w:rsid w:val="00EA2B72"/>
    <w:rsid w:val="00F26F4E"/>
    <w:rsid w:val="00F74360"/>
    <w:rsid w:val="00F85A04"/>
    <w:rsid w:val="00F97A20"/>
    <w:rsid w:val="00FB462F"/>
    <w:rsid w:val="00FE16FA"/>
    <w:rsid w:val="00FE328A"/>
    <w:rsid w:val="00FE6269"/>
    <w:rsid w:val="00FF5CD6"/>
    <w:rsid w:val="15983C43"/>
    <w:rsid w:val="17FED980"/>
    <w:rsid w:val="1CD13682"/>
    <w:rsid w:val="1D7FF002"/>
    <w:rsid w:val="1DFF0B83"/>
    <w:rsid w:val="2C6E152E"/>
    <w:rsid w:val="2E77EC97"/>
    <w:rsid w:val="3D456EB4"/>
    <w:rsid w:val="3F0B098D"/>
    <w:rsid w:val="56FFE558"/>
    <w:rsid w:val="66FA95FD"/>
    <w:rsid w:val="6BDC7DC9"/>
    <w:rsid w:val="6F75E039"/>
    <w:rsid w:val="6FF41C20"/>
    <w:rsid w:val="755F9632"/>
    <w:rsid w:val="7777EB43"/>
    <w:rsid w:val="7B5FADA2"/>
    <w:rsid w:val="7B75D568"/>
    <w:rsid w:val="7BBF3C97"/>
    <w:rsid w:val="7FDB1E2F"/>
    <w:rsid w:val="B7FF638C"/>
    <w:rsid w:val="BAF7B920"/>
    <w:rsid w:val="BFDFFDD4"/>
    <w:rsid w:val="D5EEC5E4"/>
    <w:rsid w:val="DD22CB91"/>
    <w:rsid w:val="E5E6713C"/>
    <w:rsid w:val="EE73C611"/>
    <w:rsid w:val="FD78A308"/>
    <w:rsid w:val="FEE468D2"/>
    <w:rsid w:val="FF554829"/>
    <w:rsid w:val="FFE53EB1"/>
    <w:rsid w:val="FFFD2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列出段落1"/>
    <w:basedOn w:val="1"/>
    <w:qFormat/>
    <w:uiPriority w:val="34"/>
    <w:pPr>
      <w:ind w:firstLine="420" w:firstLineChars="200"/>
    </w:pPr>
    <w:rPr>
      <w:rFonts w:ascii="Calibri" w:hAnsi="Calibri" w:eastAsia="宋体" w:cs="Times New Roman"/>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9741</Words>
  <Characters>13034</Characters>
  <Lines>106</Lines>
  <Paragraphs>30</Paragraphs>
  <TotalTime>27</TotalTime>
  <ScaleCrop>false</ScaleCrop>
  <LinksUpToDate>false</LinksUpToDate>
  <CharactersWithSpaces>13754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2022-09-03T23:46:00Z</dcterms:created>
  <dc:creator>xb21cn</dc:creator>
  <cp:lastModifiedBy>greatwall</cp:lastModifiedBy>
  <cp:lastPrinted>2021-09-20T23:01:00Z</cp:lastPrinted>
  <dcterms:modified xsi:type="dcterms:W3CDTF">2023-10-07T09:59:18Z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4B244C8B0F7D4AE8B4C275A1E0F9A317_13</vt:lpwstr>
  </property>
</Properties>
</file>